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6E" w:rsidRPr="001F4F6E" w:rsidRDefault="001F4F6E">
      <w:pPr>
        <w:rPr>
          <w:rFonts w:ascii="Calibri" w:hAnsi="Calibri"/>
          <w:lang w:val="hr-HR"/>
        </w:rPr>
      </w:pPr>
    </w:p>
    <w:tbl>
      <w:tblPr>
        <w:tblW w:w="0" w:type="auto"/>
        <w:tblBorders>
          <w:bottom w:val="single" w:sz="24" w:space="0" w:color="00CC00"/>
        </w:tblBorders>
        <w:tblLook w:val="01E0" w:firstRow="1" w:lastRow="1" w:firstColumn="1" w:lastColumn="1" w:noHBand="0" w:noVBand="0"/>
      </w:tblPr>
      <w:tblGrid>
        <w:gridCol w:w="3450"/>
        <w:gridCol w:w="6982"/>
      </w:tblGrid>
      <w:tr w:rsidR="001F4F6E" w:rsidRPr="00045278" w:rsidTr="00045278">
        <w:trPr>
          <w:trHeight w:val="1433"/>
        </w:trPr>
        <w:tc>
          <w:tcPr>
            <w:tcW w:w="3524" w:type="dxa"/>
            <w:shd w:val="clear" w:color="auto" w:fill="auto"/>
            <w:tcMar>
              <w:left w:w="57" w:type="dxa"/>
              <w:right w:w="57" w:type="dxa"/>
            </w:tcMar>
            <w:vAlign w:val="bottom"/>
          </w:tcPr>
          <w:p w:rsidR="001F4F6E" w:rsidRPr="00045278" w:rsidRDefault="004E4870" w:rsidP="001F4F6E">
            <w:pPr>
              <w:rPr>
                <w:rFonts w:ascii="Calibri" w:hAnsi="Calibri"/>
                <w:color w:val="0000FF"/>
                <w:sz w:val="20"/>
                <w:szCs w:val="20"/>
                <w:lang w:val="hr-HR"/>
              </w:rPr>
            </w:pPr>
            <w:r>
              <w:rPr>
                <w:rFonts w:ascii="Calibri" w:hAnsi="Calibri"/>
                <w:noProof/>
                <w:color w:val="0000FF"/>
                <w:lang w:val="hr-HR"/>
              </w:rPr>
              <w:drawing>
                <wp:inline distT="0" distB="0" distL="0" distR="0">
                  <wp:extent cx="1531620" cy="560705"/>
                  <wp:effectExtent l="0" t="0" r="0" b="0"/>
                  <wp:docPr id="1" name="Slika 1" descr="znak_tek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tek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560705"/>
                          </a:xfrm>
                          <a:prstGeom prst="rect">
                            <a:avLst/>
                          </a:prstGeom>
                          <a:noFill/>
                          <a:ln>
                            <a:noFill/>
                          </a:ln>
                        </pic:spPr>
                      </pic:pic>
                    </a:graphicData>
                  </a:graphic>
                </wp:inline>
              </w:drawing>
            </w:r>
          </w:p>
          <w:p w:rsidR="001F4F6E" w:rsidRPr="00045278" w:rsidRDefault="001F4F6E" w:rsidP="001F4F6E">
            <w:pPr>
              <w:rPr>
                <w:rFonts w:ascii="Calibri" w:hAnsi="Calibri"/>
                <w:color w:val="0000FF"/>
                <w:spacing w:val="-12"/>
                <w:sz w:val="20"/>
                <w:szCs w:val="20"/>
                <w:lang w:val="hr-HR"/>
              </w:rPr>
            </w:pPr>
            <w:r w:rsidRPr="00045278">
              <w:rPr>
                <w:rFonts w:ascii="Calibri" w:hAnsi="Calibri"/>
                <w:color w:val="0000FF"/>
                <w:spacing w:val="-12"/>
                <w:sz w:val="20"/>
                <w:szCs w:val="20"/>
                <w:lang w:val="hr-HR"/>
              </w:rPr>
              <w:t xml:space="preserve">d.o.o. za </w:t>
            </w:r>
            <w:r w:rsidR="00F87A78" w:rsidRPr="00045278">
              <w:rPr>
                <w:rFonts w:ascii="Calibri" w:hAnsi="Calibri"/>
                <w:color w:val="0000FF"/>
                <w:spacing w:val="-12"/>
                <w:sz w:val="20"/>
                <w:szCs w:val="20"/>
                <w:lang w:val="hr-HR"/>
              </w:rPr>
              <w:t xml:space="preserve"> </w:t>
            </w:r>
            <w:r w:rsidRPr="00045278">
              <w:rPr>
                <w:rFonts w:ascii="Calibri" w:hAnsi="Calibri"/>
                <w:color w:val="0000FF"/>
                <w:spacing w:val="-12"/>
                <w:sz w:val="20"/>
                <w:szCs w:val="20"/>
                <w:lang w:val="hr-HR"/>
              </w:rPr>
              <w:t xml:space="preserve">obavljanje vodnih </w:t>
            </w:r>
            <w:r w:rsidR="00526D08" w:rsidRPr="00045278">
              <w:rPr>
                <w:rFonts w:ascii="Calibri" w:hAnsi="Calibri"/>
                <w:color w:val="0000FF"/>
                <w:spacing w:val="-12"/>
                <w:sz w:val="20"/>
                <w:szCs w:val="20"/>
                <w:lang w:val="hr-HR"/>
              </w:rPr>
              <w:t>usluga</w:t>
            </w:r>
          </w:p>
          <w:p w:rsidR="001F4F6E" w:rsidRPr="00045278" w:rsidRDefault="001F4F6E">
            <w:pPr>
              <w:rPr>
                <w:rFonts w:ascii="Calibri" w:hAnsi="Calibri"/>
                <w:color w:val="0000FF"/>
                <w:sz w:val="20"/>
                <w:szCs w:val="20"/>
                <w:lang w:val="hr-HR"/>
              </w:rPr>
            </w:pPr>
            <w:r w:rsidRPr="00045278">
              <w:rPr>
                <w:rFonts w:ascii="Calibri" w:hAnsi="Calibri"/>
                <w:color w:val="0000FF"/>
                <w:sz w:val="20"/>
                <w:szCs w:val="20"/>
                <w:lang w:val="hr-HR"/>
              </w:rPr>
              <w:t>Vodovodna 1,  34000  Požega</w:t>
            </w:r>
          </w:p>
        </w:tc>
        <w:tc>
          <w:tcPr>
            <w:tcW w:w="7362" w:type="dxa"/>
            <w:shd w:val="clear" w:color="auto" w:fill="auto"/>
            <w:tcMar>
              <w:left w:w="57" w:type="dxa"/>
              <w:right w:w="57" w:type="dxa"/>
            </w:tcMar>
            <w:vAlign w:val="bottom"/>
          </w:tcPr>
          <w:p w:rsidR="001F4F6E" w:rsidRPr="00045278" w:rsidRDefault="001F4F6E" w:rsidP="00045278">
            <w:pPr>
              <w:jc w:val="right"/>
              <w:rPr>
                <w:rFonts w:ascii="Calibri" w:hAnsi="Calibri"/>
                <w:color w:val="0000FF"/>
                <w:sz w:val="20"/>
                <w:szCs w:val="20"/>
                <w:lang w:val="hr-HR"/>
              </w:rPr>
            </w:pPr>
          </w:p>
          <w:p w:rsidR="001F4F6E" w:rsidRPr="00045278" w:rsidRDefault="001F4F6E" w:rsidP="00045278">
            <w:pPr>
              <w:jc w:val="right"/>
              <w:rPr>
                <w:rFonts w:ascii="Calibri" w:hAnsi="Calibri"/>
                <w:color w:val="0000FF"/>
                <w:sz w:val="20"/>
                <w:szCs w:val="20"/>
                <w:lang w:val="hr-HR"/>
              </w:rPr>
            </w:pPr>
            <w:r w:rsidRPr="00045278">
              <w:rPr>
                <w:rFonts w:ascii="Calibri" w:hAnsi="Calibri"/>
                <w:color w:val="0000FF"/>
                <w:sz w:val="20"/>
                <w:szCs w:val="20"/>
                <w:lang w:val="hr-HR"/>
              </w:rPr>
              <w:t xml:space="preserve">Tel. (034) 312 450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w:t>
            </w:r>
            <w:proofErr w:type="spellStart"/>
            <w:r w:rsidRPr="00045278">
              <w:rPr>
                <w:rFonts w:ascii="Calibri" w:hAnsi="Calibri"/>
                <w:color w:val="0000FF"/>
                <w:sz w:val="20"/>
                <w:szCs w:val="20"/>
                <w:lang w:val="hr-HR"/>
              </w:rPr>
              <w:t>Fax</w:t>
            </w:r>
            <w:proofErr w:type="spellEnd"/>
            <w:r w:rsidRPr="00045278">
              <w:rPr>
                <w:rFonts w:ascii="Calibri" w:hAnsi="Calibri"/>
                <w:color w:val="0000FF"/>
                <w:sz w:val="20"/>
                <w:szCs w:val="20"/>
                <w:lang w:val="hr-HR"/>
              </w:rPr>
              <w:t>. (034) 312 480</w:t>
            </w:r>
          </w:p>
          <w:p w:rsidR="001F4F6E" w:rsidRPr="00045278" w:rsidRDefault="001F4F6E" w:rsidP="00045278">
            <w:pPr>
              <w:jc w:val="right"/>
              <w:rPr>
                <w:rFonts w:ascii="Calibri" w:hAnsi="Calibri"/>
                <w:color w:val="0000FF"/>
                <w:sz w:val="20"/>
                <w:szCs w:val="20"/>
                <w:lang w:val="hr-HR"/>
              </w:rPr>
            </w:pPr>
            <w:r w:rsidRPr="00045278">
              <w:rPr>
                <w:rFonts w:ascii="Calibri" w:hAnsi="Calibri"/>
                <w:color w:val="0000FF"/>
                <w:sz w:val="20"/>
                <w:szCs w:val="20"/>
                <w:lang w:val="hr-HR"/>
              </w:rPr>
              <w:t>e-mail: info@</w:t>
            </w:r>
            <w:proofErr w:type="spellStart"/>
            <w:r w:rsidRPr="00045278">
              <w:rPr>
                <w:rFonts w:ascii="Calibri" w:hAnsi="Calibri"/>
                <w:color w:val="0000FF"/>
                <w:sz w:val="20"/>
                <w:szCs w:val="20"/>
                <w:lang w:val="hr-HR"/>
              </w:rPr>
              <w:t>tekija.hr</w:t>
            </w:r>
            <w:proofErr w:type="spellEnd"/>
            <w:r w:rsidR="00F87A78" w:rsidRPr="00045278">
              <w:rPr>
                <w:rFonts w:ascii="Calibri" w:hAnsi="Calibri"/>
                <w:color w:val="0000FF"/>
                <w:sz w:val="20"/>
                <w:szCs w:val="20"/>
                <w:lang w:val="hr-HR"/>
              </w:rPr>
              <w:t xml:space="preserve"> </w:t>
            </w:r>
            <w:r w:rsidR="00F87A78" w:rsidRPr="00045278">
              <w:rPr>
                <w:rFonts w:ascii="Calibri" w:hAnsi="Calibri"/>
                <w:color w:val="0000FF"/>
                <w:sz w:val="20"/>
                <w:szCs w:val="20"/>
                <w:lang w:val="hr-HR"/>
              </w:rPr>
              <w:sym w:font="Symbol" w:char="F0B7"/>
            </w:r>
            <w:r w:rsidR="00F87A78" w:rsidRPr="00045278">
              <w:rPr>
                <w:rFonts w:ascii="Calibri" w:hAnsi="Calibri"/>
                <w:color w:val="0000FF"/>
                <w:sz w:val="20"/>
                <w:szCs w:val="20"/>
                <w:lang w:val="hr-HR"/>
              </w:rPr>
              <w:t xml:space="preserve"> web: www.tekija.hr</w:t>
            </w:r>
          </w:p>
          <w:p w:rsidR="001F4F6E" w:rsidRPr="00045278" w:rsidRDefault="001F4F6E" w:rsidP="00045278">
            <w:pPr>
              <w:jc w:val="right"/>
              <w:rPr>
                <w:rFonts w:ascii="Calibri" w:hAnsi="Calibri"/>
                <w:color w:val="0000FF"/>
                <w:sz w:val="20"/>
                <w:szCs w:val="20"/>
                <w:lang w:val="hr-HR"/>
              </w:rPr>
            </w:pPr>
            <w:r w:rsidRPr="00045278">
              <w:rPr>
                <w:rFonts w:ascii="Calibri" w:hAnsi="Calibri"/>
                <w:color w:val="0000FF"/>
                <w:sz w:val="20"/>
                <w:szCs w:val="20"/>
                <w:lang w:val="hr-HR"/>
              </w:rPr>
              <w:t>IBAN: HR0723860021520010029 Podravska banka d.d.</w:t>
            </w:r>
          </w:p>
          <w:p w:rsidR="001F4F6E" w:rsidRPr="00045278" w:rsidRDefault="001F4F6E" w:rsidP="00045278">
            <w:pPr>
              <w:jc w:val="right"/>
              <w:rPr>
                <w:rFonts w:ascii="Calibri" w:hAnsi="Calibri"/>
                <w:color w:val="0000FF"/>
                <w:sz w:val="20"/>
                <w:szCs w:val="20"/>
                <w:lang w:val="hr-HR"/>
              </w:rPr>
            </w:pPr>
            <w:r w:rsidRPr="00045278">
              <w:rPr>
                <w:rFonts w:ascii="Calibri" w:hAnsi="Calibri"/>
                <w:color w:val="0000FF"/>
                <w:sz w:val="20"/>
                <w:szCs w:val="20"/>
                <w:lang w:val="hr-HR"/>
              </w:rPr>
              <w:t xml:space="preserve">Matični broj: 3322157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OIB: 57790565988</w:t>
            </w:r>
          </w:p>
        </w:tc>
      </w:tr>
    </w:tbl>
    <w:p w:rsidR="0054064C" w:rsidRDefault="0054064C" w:rsidP="0054064C">
      <w:pPr>
        <w:rPr>
          <w:rFonts w:ascii="Calibri" w:hAnsi="Calibri"/>
          <w:sz w:val="20"/>
          <w:szCs w:val="20"/>
          <w:lang w:val="hr-HR"/>
        </w:rPr>
      </w:pPr>
    </w:p>
    <w:p w:rsidR="00AE381E" w:rsidRDefault="00AE381E" w:rsidP="00AE381E">
      <w:pPr>
        <w:spacing w:after="120"/>
        <w:jc w:val="both"/>
        <w:rPr>
          <w:rFonts w:asciiTheme="minorHAnsi" w:eastAsiaTheme="minorHAnsi" w:hAnsiTheme="minorHAnsi" w:cstheme="minorBidi"/>
          <w:b/>
          <w:sz w:val="22"/>
          <w:szCs w:val="22"/>
          <w:lang w:val="hr-HR" w:eastAsia="en-US"/>
        </w:rPr>
      </w:pPr>
    </w:p>
    <w:p w:rsidR="00AE381E" w:rsidRPr="00AE381E" w:rsidRDefault="00AE381E" w:rsidP="00AE381E">
      <w:pPr>
        <w:spacing w:after="120"/>
        <w:jc w:val="both"/>
        <w:rPr>
          <w:rFonts w:asciiTheme="minorHAnsi" w:eastAsiaTheme="minorHAnsi" w:hAnsiTheme="minorHAnsi" w:cstheme="minorBidi"/>
          <w:b/>
          <w:sz w:val="22"/>
          <w:szCs w:val="22"/>
          <w:lang w:val="hr-HR" w:eastAsia="en-US"/>
        </w:rPr>
      </w:pPr>
      <w:r w:rsidRPr="00AE381E">
        <w:rPr>
          <w:rFonts w:asciiTheme="minorHAnsi" w:eastAsiaTheme="minorHAnsi" w:hAnsiTheme="minorHAnsi" w:cstheme="minorBidi"/>
          <w:b/>
          <w:sz w:val="22"/>
          <w:szCs w:val="22"/>
          <w:lang w:val="hr-HR" w:eastAsia="en-US"/>
        </w:rPr>
        <w:t xml:space="preserve">Požega, </w:t>
      </w:r>
      <w:r w:rsidR="003B5D1A">
        <w:rPr>
          <w:rFonts w:asciiTheme="minorHAnsi" w:eastAsiaTheme="minorHAnsi" w:hAnsiTheme="minorHAnsi" w:cstheme="minorBidi"/>
          <w:b/>
          <w:sz w:val="22"/>
          <w:szCs w:val="22"/>
          <w:lang w:val="hr-HR" w:eastAsia="en-US"/>
        </w:rPr>
        <w:t>25</w:t>
      </w:r>
      <w:r w:rsidRPr="00AE381E">
        <w:rPr>
          <w:rFonts w:asciiTheme="minorHAnsi" w:eastAsiaTheme="minorHAnsi" w:hAnsiTheme="minorHAnsi" w:cstheme="minorBidi"/>
          <w:b/>
          <w:sz w:val="22"/>
          <w:szCs w:val="22"/>
          <w:lang w:val="hr-HR" w:eastAsia="en-US"/>
        </w:rPr>
        <w:t>. s</w:t>
      </w:r>
      <w:r w:rsidR="003B5D1A">
        <w:rPr>
          <w:rFonts w:asciiTheme="minorHAnsi" w:eastAsiaTheme="minorHAnsi" w:hAnsiTheme="minorHAnsi" w:cstheme="minorBidi"/>
          <w:b/>
          <w:sz w:val="22"/>
          <w:szCs w:val="22"/>
          <w:lang w:val="hr-HR" w:eastAsia="en-US"/>
        </w:rPr>
        <w:t>iječnja 2022</w:t>
      </w:r>
      <w:r w:rsidRPr="00AE381E">
        <w:rPr>
          <w:rFonts w:asciiTheme="minorHAnsi" w:eastAsiaTheme="minorHAnsi" w:hAnsiTheme="minorHAnsi" w:cstheme="minorBidi"/>
          <w:b/>
          <w:sz w:val="22"/>
          <w:szCs w:val="22"/>
          <w:lang w:val="hr-HR" w:eastAsia="en-US"/>
        </w:rPr>
        <w:t>.g.</w:t>
      </w:r>
    </w:p>
    <w:p w:rsidR="00AE381E" w:rsidRPr="00AE381E" w:rsidRDefault="00AE381E" w:rsidP="00AE381E">
      <w:pPr>
        <w:spacing w:after="120"/>
        <w:jc w:val="both"/>
        <w:rPr>
          <w:rFonts w:asciiTheme="minorHAnsi" w:eastAsiaTheme="minorHAnsi" w:hAnsiTheme="minorHAnsi" w:cstheme="minorBidi"/>
          <w:b/>
          <w:sz w:val="22"/>
          <w:szCs w:val="22"/>
          <w:lang w:val="hr-HR" w:eastAsia="en-US"/>
        </w:rPr>
      </w:pPr>
    </w:p>
    <w:p w:rsidR="00AE381E" w:rsidRPr="00AE381E" w:rsidRDefault="00AE381E" w:rsidP="00AE381E">
      <w:pPr>
        <w:spacing w:after="120"/>
        <w:jc w:val="center"/>
        <w:rPr>
          <w:rFonts w:asciiTheme="minorHAnsi" w:eastAsiaTheme="minorHAnsi" w:hAnsiTheme="minorHAnsi" w:cstheme="minorBidi"/>
          <w:b/>
          <w:sz w:val="22"/>
          <w:szCs w:val="22"/>
          <w:lang w:val="hr-HR" w:eastAsia="en-US"/>
        </w:rPr>
      </w:pPr>
      <w:r w:rsidRPr="00AE381E">
        <w:rPr>
          <w:rFonts w:asciiTheme="minorHAnsi" w:eastAsiaTheme="minorHAnsi" w:hAnsiTheme="minorHAnsi" w:cstheme="minorBidi"/>
          <w:b/>
          <w:sz w:val="22"/>
          <w:szCs w:val="22"/>
          <w:lang w:val="hr-HR" w:eastAsia="en-US"/>
        </w:rPr>
        <w:t>Predmet: Javni poziv za sudjelovanje u postupku savjetovanja s javnošću u donošenju –</w:t>
      </w:r>
    </w:p>
    <w:p w:rsidR="00AE381E" w:rsidRPr="00AE381E" w:rsidRDefault="00AE381E" w:rsidP="00AE381E">
      <w:pPr>
        <w:spacing w:after="120"/>
        <w:jc w:val="center"/>
        <w:rPr>
          <w:rFonts w:asciiTheme="minorHAnsi" w:eastAsiaTheme="minorHAnsi" w:hAnsiTheme="minorHAnsi" w:cstheme="minorBidi"/>
          <w:b/>
          <w:sz w:val="22"/>
          <w:szCs w:val="22"/>
          <w:lang w:val="hr-HR" w:eastAsia="en-US"/>
        </w:rPr>
      </w:pPr>
      <w:r w:rsidRPr="00AE381E">
        <w:rPr>
          <w:rFonts w:asciiTheme="minorHAnsi" w:eastAsiaTheme="minorHAnsi" w:hAnsiTheme="minorHAnsi" w:cstheme="minorBidi"/>
          <w:b/>
          <w:sz w:val="22"/>
          <w:szCs w:val="22"/>
          <w:lang w:val="hr-HR" w:eastAsia="en-US"/>
        </w:rPr>
        <w:t>ODLUKE O CIJENI VODNIH USLUGA</w:t>
      </w:r>
    </w:p>
    <w:p w:rsidR="00AE381E" w:rsidRPr="00AE381E" w:rsidRDefault="00AE381E" w:rsidP="00AE381E">
      <w:pPr>
        <w:spacing w:after="120"/>
        <w:jc w:val="both"/>
        <w:rPr>
          <w:rFonts w:asciiTheme="minorHAnsi" w:eastAsiaTheme="minorHAnsi" w:hAnsiTheme="minorHAnsi" w:cstheme="minorBidi"/>
          <w:sz w:val="22"/>
          <w:szCs w:val="22"/>
          <w:lang w:val="hr-HR" w:eastAsia="en-US"/>
        </w:rPr>
      </w:pPr>
    </w:p>
    <w:p w:rsidR="00AE381E" w:rsidRPr="00AE381E" w:rsidRDefault="00AE381E" w:rsidP="00AE381E">
      <w:pPr>
        <w:spacing w:after="120"/>
        <w:ind w:firstLine="708"/>
        <w:jc w:val="both"/>
        <w:rPr>
          <w:rFonts w:asciiTheme="minorHAnsi" w:eastAsiaTheme="minorHAnsi" w:hAnsiTheme="minorHAnsi" w:cstheme="minorBidi"/>
          <w:sz w:val="22"/>
          <w:szCs w:val="22"/>
          <w:lang w:val="hr-HR" w:eastAsia="en-US"/>
        </w:rPr>
      </w:pPr>
      <w:r w:rsidRPr="00AE381E">
        <w:rPr>
          <w:rFonts w:asciiTheme="minorHAnsi" w:eastAsiaTheme="minorHAnsi" w:hAnsiTheme="minorHAnsi" w:cstheme="minorBidi"/>
          <w:sz w:val="22"/>
          <w:szCs w:val="22"/>
          <w:lang w:val="hr-HR" w:eastAsia="en-US"/>
        </w:rPr>
        <w:t>Poštovani,</w:t>
      </w:r>
    </w:p>
    <w:p w:rsidR="00AE381E" w:rsidRDefault="00AE381E" w:rsidP="00AE381E">
      <w:pPr>
        <w:spacing w:after="120"/>
        <w:jc w:val="both"/>
        <w:rPr>
          <w:rFonts w:asciiTheme="minorHAnsi" w:eastAsiaTheme="minorHAnsi" w:hAnsiTheme="minorHAnsi" w:cstheme="minorBidi"/>
          <w:sz w:val="22"/>
          <w:szCs w:val="22"/>
          <w:lang w:val="hr-HR" w:eastAsia="en-US"/>
        </w:rPr>
      </w:pPr>
      <w:r w:rsidRPr="00AE381E">
        <w:rPr>
          <w:rFonts w:asciiTheme="minorHAnsi" w:eastAsiaTheme="minorHAnsi" w:hAnsiTheme="minorHAnsi" w:cstheme="minorBidi"/>
          <w:sz w:val="22"/>
          <w:szCs w:val="22"/>
          <w:lang w:val="hr-HR" w:eastAsia="en-US"/>
        </w:rPr>
        <w:t>Uprava TEKIJA d.o.o. Požega namjerava uputiti Skupštini Društva prijedlog Odluke o cijeni vodnih usluga.</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Javni isporučitelj vodnih usluga Tekija d.o.o. cijenu vodnih usluga zadnji puta  korigirao je 2018. godine, kada je iskazana potreba za korekciju iste poradi punog povrata troškova od vodnih aktivnosti kroz politiku cijene koja je propisana Uredbom o najnižoj cijeni vodnih usluga i vrsti troškova koje cijena vodnih usluga pokriva (NN 112/10).</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 xml:space="preserve"> Sukladno Uredbi,   cijena vodne usluge sadrži fiksni i varijabilni dio cijene vodne usluge. Varijabilni dio cijene vodne usluge, obračunava  se po isporučenom kubiku vode, a  fiksni dio cijene vodne usluge obračunava se po korisniku mjesečno.</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Društvo Tekija d.o.o. preispitalo je sadašnji tarifni model i predlaže izmjenu odluke o cijeni vodnih usluga poštujući pri tom odredbe Zakona o vodnim uslugama te Zakona o financiranju vodnog gospodarstva prema kojima se cijena vodnih usluga određuje prema načelima punog povrata troškova vodnih usluga, socijalne prihvatljivosti cijene vode i zaštite od monopola kao i načela da se vodne usluge pružaju pod nediskriminacijskim uvjetima i socijalno prihvatljivim uvjetima.</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Društvo Tekija d.o.o. je utvrdilo da je potrebno povećati varijabilni dio cijene vodnih usluga (javne vodoopskrbe, javne odvodnje i pročišćavanja) za kategorije korisnika u stambenim prostorima (domaćinstva) i korisnika u poslovnim prostorima (gospodarstvo) za oko 8%, kako bi se pokrili svi troškovi poslovanja prema Uredbi o najnižoj cijeni vodnih usluga, dok bi fiksni dio cijene javne vodoopskrbe i fiksni dio cijene javne odvodnje ostali nepromijenjeni.</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Razlozi za predloženu korekciju cijene sadržani su u značajnom povećanju  cijene energenata , cijene materijala i usluga i  cijene radova na izgradnji , rekonstrukciji i održavanju vodnih građevina.</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 xml:space="preserve">Od zadnje promjene cijene koja je bila početkom 2018. godine, došlo je do značajnog povećanja tekućih materijalnih troškova. Tako da su troškovi  energije (el. energija, plin, gorivo), u 2021. godini, u odnosu na zadnju promjenu cijene vodnih usluga povećani za 23,53%,  trošak sirovina i materijala 39,60%, troškovi usluga i održavanja 54,25%, a trošak amortizacije 16,18%. </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 xml:space="preserve">Povećani opseg investicija, te sve veća tehnička modernizacija sustava, kako u javnoj vodoopskrbi, tako i u javnoj odvodnji, uz kontinuirano povećanje zakonskih obveza,  dovodi do potrebe zapošljavanja većeg broja stručno osposobljenih radnika, a time i do rasta troškova poslovanja. </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Nadalje završetkom  investicija na vodnim građevinama  povećava se trošak amortizacije, a povećava se i broj objekata (</w:t>
      </w:r>
      <w:proofErr w:type="spellStart"/>
      <w:r w:rsidRPr="003B5D1A">
        <w:rPr>
          <w:rFonts w:asciiTheme="minorHAnsi" w:eastAsiaTheme="minorHAnsi" w:hAnsiTheme="minorHAnsi" w:cstheme="minorBidi"/>
          <w:sz w:val="22"/>
          <w:szCs w:val="22"/>
          <w:lang w:val="hr-HR" w:eastAsia="en-US"/>
        </w:rPr>
        <w:t>precrpnih</w:t>
      </w:r>
      <w:proofErr w:type="spellEnd"/>
      <w:r w:rsidRPr="003B5D1A">
        <w:rPr>
          <w:rFonts w:asciiTheme="minorHAnsi" w:eastAsiaTheme="minorHAnsi" w:hAnsiTheme="minorHAnsi" w:cstheme="minorBidi"/>
          <w:sz w:val="22"/>
          <w:szCs w:val="22"/>
          <w:lang w:val="hr-HR" w:eastAsia="en-US"/>
        </w:rPr>
        <w:t xml:space="preserve"> stanica) na odvodnji i pročišćavanju  što,  uz značajno povećanje cijene energenata, dovodi također do povećanih troškova.</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Sukladno  gore navedenom predlaže se da:</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Fiksni dio cijene javne vodoopskrbe ostaje nepromijenjen te iznosi 16,00 kn/</w:t>
      </w:r>
      <w:proofErr w:type="spellStart"/>
      <w:r w:rsidRPr="003B5D1A">
        <w:rPr>
          <w:rFonts w:asciiTheme="minorHAnsi" w:eastAsiaTheme="minorHAnsi" w:hAnsiTheme="minorHAnsi" w:cstheme="minorBidi"/>
          <w:sz w:val="22"/>
          <w:szCs w:val="22"/>
          <w:lang w:val="hr-HR" w:eastAsia="en-US"/>
        </w:rPr>
        <w:t>mj</w:t>
      </w:r>
      <w:proofErr w:type="spellEnd"/>
      <w:r w:rsidRPr="003B5D1A">
        <w:rPr>
          <w:rFonts w:asciiTheme="minorHAnsi" w:eastAsiaTheme="minorHAnsi" w:hAnsiTheme="minorHAnsi" w:cstheme="minorBidi"/>
          <w:sz w:val="22"/>
          <w:szCs w:val="22"/>
          <w:lang w:val="hr-HR" w:eastAsia="en-US"/>
        </w:rPr>
        <w:t xml:space="preserve"> za stambene prostore i 32,00 kn/</w:t>
      </w:r>
      <w:proofErr w:type="spellStart"/>
      <w:r w:rsidRPr="003B5D1A">
        <w:rPr>
          <w:rFonts w:asciiTheme="minorHAnsi" w:eastAsiaTheme="minorHAnsi" w:hAnsiTheme="minorHAnsi" w:cstheme="minorBidi"/>
          <w:sz w:val="22"/>
          <w:szCs w:val="22"/>
          <w:lang w:val="hr-HR" w:eastAsia="en-US"/>
        </w:rPr>
        <w:t>mj</w:t>
      </w:r>
      <w:proofErr w:type="spellEnd"/>
      <w:r w:rsidRPr="003B5D1A">
        <w:rPr>
          <w:rFonts w:asciiTheme="minorHAnsi" w:eastAsiaTheme="minorHAnsi" w:hAnsiTheme="minorHAnsi" w:cstheme="minorBidi"/>
          <w:sz w:val="22"/>
          <w:szCs w:val="22"/>
          <w:lang w:val="hr-HR" w:eastAsia="en-US"/>
        </w:rPr>
        <w:t xml:space="preserve"> za poslovne prostore.</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p>
    <w:p w:rsidR="003B5D1A" w:rsidRDefault="003B5D1A" w:rsidP="003B5D1A">
      <w:pPr>
        <w:spacing w:after="120"/>
        <w:jc w:val="both"/>
        <w:rPr>
          <w:rFonts w:asciiTheme="minorHAnsi" w:eastAsiaTheme="minorHAnsi" w:hAnsiTheme="minorHAnsi" w:cstheme="minorBidi"/>
          <w:sz w:val="22"/>
          <w:szCs w:val="22"/>
          <w:lang w:val="hr-HR" w:eastAsia="en-US"/>
        </w:rPr>
      </w:pPr>
    </w:p>
    <w:p w:rsidR="003B5D1A" w:rsidRDefault="003B5D1A" w:rsidP="003B5D1A">
      <w:pPr>
        <w:spacing w:after="120"/>
        <w:jc w:val="both"/>
        <w:rPr>
          <w:rFonts w:asciiTheme="minorHAnsi" w:eastAsiaTheme="minorHAnsi" w:hAnsiTheme="minorHAnsi" w:cstheme="minorBidi"/>
          <w:sz w:val="22"/>
          <w:szCs w:val="22"/>
          <w:lang w:val="hr-HR" w:eastAsia="en-US"/>
        </w:rPr>
      </w:pP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Fiksni dio cijene javne odvodnje ostaje nepromijenjen te iznosi 7,00 kn/</w:t>
      </w:r>
      <w:proofErr w:type="spellStart"/>
      <w:r w:rsidRPr="003B5D1A">
        <w:rPr>
          <w:rFonts w:asciiTheme="minorHAnsi" w:eastAsiaTheme="minorHAnsi" w:hAnsiTheme="minorHAnsi" w:cstheme="minorBidi"/>
          <w:sz w:val="22"/>
          <w:szCs w:val="22"/>
          <w:lang w:val="hr-HR" w:eastAsia="en-US"/>
        </w:rPr>
        <w:t>mj</w:t>
      </w:r>
      <w:proofErr w:type="spellEnd"/>
      <w:r w:rsidRPr="003B5D1A">
        <w:rPr>
          <w:rFonts w:asciiTheme="minorHAnsi" w:eastAsiaTheme="minorHAnsi" w:hAnsiTheme="minorHAnsi" w:cstheme="minorBidi"/>
          <w:sz w:val="22"/>
          <w:szCs w:val="22"/>
          <w:lang w:val="hr-HR" w:eastAsia="en-US"/>
        </w:rPr>
        <w:t xml:space="preserve"> za stambene prostore i 10,00 kn/</w:t>
      </w:r>
      <w:proofErr w:type="spellStart"/>
      <w:r w:rsidRPr="003B5D1A">
        <w:rPr>
          <w:rFonts w:asciiTheme="minorHAnsi" w:eastAsiaTheme="minorHAnsi" w:hAnsiTheme="minorHAnsi" w:cstheme="minorBidi"/>
          <w:sz w:val="22"/>
          <w:szCs w:val="22"/>
          <w:lang w:val="hr-HR" w:eastAsia="en-US"/>
        </w:rPr>
        <w:t>mj</w:t>
      </w:r>
      <w:proofErr w:type="spellEnd"/>
      <w:r w:rsidRPr="003B5D1A">
        <w:rPr>
          <w:rFonts w:asciiTheme="minorHAnsi" w:eastAsiaTheme="minorHAnsi" w:hAnsiTheme="minorHAnsi" w:cstheme="minorBidi"/>
          <w:sz w:val="22"/>
          <w:szCs w:val="22"/>
          <w:lang w:val="hr-HR" w:eastAsia="en-US"/>
        </w:rPr>
        <w:t xml:space="preserve"> za poslovne prostore</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1. povećanje osnovne cijene vode (varijabilni dio) s 4,22 na 4,59 kn/m3 isporučene vode za stambene prostore, te povećanje osnovne cijene vode (varijabilni dio) u poslovnim prostorima  sa 7,81 na 8,45 kn/m3 isporučene vode.</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2. povećanje osnovne cijene odvodnje (varijabilni dio) s 1,98 na 2,16 kn/m3 isporučene odvodnje za stambene prostore, te povećanje osnovne cijene odvodnje (varijabilni dio) za poslovne prostore u iznosu sa 2,77 na 3,01 kn/m3 isporučene odvodnje.</w:t>
      </w:r>
    </w:p>
    <w:p w:rsidR="003B5D1A" w:rsidRP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3. povećanje osnovne cijene pročišćavanja (varijabilni dio) s 1,35 na 1,47 kn/m3 pročišćene otpadne  vode za stambene prostore, te povećanje osnovne cijene pročišćavanja (varijabilni dio) za poslovne prostore u iznosu sa 1,82 na 1,98 kn/m3 isporučene vode.</w:t>
      </w:r>
    </w:p>
    <w:p w:rsidR="003B5D1A" w:rsidRDefault="003B5D1A" w:rsidP="003B5D1A">
      <w:pPr>
        <w:spacing w:after="120"/>
        <w:jc w:val="both"/>
        <w:rPr>
          <w:rFonts w:asciiTheme="minorHAnsi" w:eastAsiaTheme="minorHAnsi" w:hAnsiTheme="minorHAnsi" w:cstheme="minorBidi"/>
          <w:sz w:val="22"/>
          <w:szCs w:val="22"/>
          <w:lang w:val="hr-HR" w:eastAsia="en-US"/>
        </w:rPr>
      </w:pPr>
      <w:r w:rsidRPr="003B5D1A">
        <w:rPr>
          <w:rFonts w:asciiTheme="minorHAnsi" w:eastAsiaTheme="minorHAnsi" w:hAnsiTheme="minorHAnsi" w:cstheme="minorBidi"/>
          <w:sz w:val="22"/>
          <w:szCs w:val="22"/>
          <w:lang w:val="hr-HR" w:eastAsia="en-US"/>
        </w:rPr>
        <w:t>Zakonska osnova prijedloga: Zakon o vodnim uslugama (N.N.66/19), Zakon o financiranju vodnog gospodarstva (</w:t>
      </w:r>
      <w:proofErr w:type="spellStart"/>
      <w:r w:rsidRPr="003B5D1A">
        <w:rPr>
          <w:rFonts w:asciiTheme="minorHAnsi" w:eastAsiaTheme="minorHAnsi" w:hAnsiTheme="minorHAnsi" w:cstheme="minorBidi"/>
          <w:sz w:val="22"/>
          <w:szCs w:val="22"/>
          <w:lang w:val="hr-HR" w:eastAsia="en-US"/>
        </w:rPr>
        <w:t>N.N</w:t>
      </w:r>
      <w:proofErr w:type="spellEnd"/>
      <w:r w:rsidRPr="003B5D1A">
        <w:rPr>
          <w:rFonts w:asciiTheme="minorHAnsi" w:eastAsiaTheme="minorHAnsi" w:hAnsiTheme="minorHAnsi" w:cstheme="minorBidi"/>
          <w:sz w:val="22"/>
          <w:szCs w:val="22"/>
          <w:lang w:val="hr-HR" w:eastAsia="en-US"/>
        </w:rPr>
        <w:t>. 153/09, 90/11,56/13, 120/16, 127/17 I 66/19),  Uredba o najnižoj cijeni vodnih usluga i vrsti troškova koje cijena vodnih usluga pokriva (</w:t>
      </w:r>
      <w:proofErr w:type="spellStart"/>
      <w:r w:rsidRPr="003B5D1A">
        <w:rPr>
          <w:rFonts w:asciiTheme="minorHAnsi" w:eastAsiaTheme="minorHAnsi" w:hAnsiTheme="minorHAnsi" w:cstheme="minorBidi"/>
          <w:sz w:val="22"/>
          <w:szCs w:val="22"/>
          <w:lang w:val="hr-HR" w:eastAsia="en-US"/>
        </w:rPr>
        <w:t>N.N</w:t>
      </w:r>
      <w:proofErr w:type="spellEnd"/>
      <w:r w:rsidRPr="003B5D1A">
        <w:rPr>
          <w:rFonts w:asciiTheme="minorHAnsi" w:eastAsiaTheme="minorHAnsi" w:hAnsiTheme="minorHAnsi" w:cstheme="minorBidi"/>
          <w:sz w:val="22"/>
          <w:szCs w:val="22"/>
          <w:lang w:val="hr-HR" w:eastAsia="en-US"/>
        </w:rPr>
        <w:t>. 112/10).</w:t>
      </w:r>
    </w:p>
    <w:p w:rsidR="003B5D1A" w:rsidRDefault="003B5D1A" w:rsidP="00AE381E">
      <w:pPr>
        <w:spacing w:after="200" w:line="276" w:lineRule="auto"/>
        <w:ind w:firstLine="708"/>
        <w:jc w:val="both"/>
        <w:rPr>
          <w:rFonts w:asciiTheme="minorHAnsi" w:eastAsiaTheme="minorHAnsi" w:hAnsiTheme="minorHAnsi" w:cstheme="minorBidi"/>
          <w:sz w:val="22"/>
          <w:szCs w:val="22"/>
          <w:lang w:val="hr-HR" w:eastAsia="en-US"/>
        </w:rPr>
      </w:pPr>
    </w:p>
    <w:p w:rsidR="00AE381E" w:rsidRPr="00AE381E" w:rsidRDefault="00AE381E" w:rsidP="00AE381E">
      <w:pPr>
        <w:spacing w:after="200" w:line="276" w:lineRule="auto"/>
        <w:ind w:firstLine="708"/>
        <w:jc w:val="both"/>
        <w:rPr>
          <w:rFonts w:asciiTheme="minorHAnsi" w:eastAsiaTheme="minorHAnsi" w:hAnsiTheme="minorHAnsi" w:cstheme="minorBidi"/>
          <w:sz w:val="22"/>
          <w:szCs w:val="22"/>
          <w:lang w:val="hr-HR" w:eastAsia="en-US"/>
        </w:rPr>
      </w:pPr>
      <w:r w:rsidRPr="00AE381E">
        <w:rPr>
          <w:rFonts w:asciiTheme="minorHAnsi" w:eastAsiaTheme="minorHAnsi" w:hAnsiTheme="minorHAnsi" w:cstheme="minorBidi"/>
          <w:sz w:val="22"/>
          <w:szCs w:val="22"/>
          <w:lang w:val="hr-HR" w:eastAsia="en-US"/>
        </w:rPr>
        <w:t>S poštovanjem,</w:t>
      </w:r>
    </w:p>
    <w:p w:rsidR="00AE381E" w:rsidRPr="00AE381E" w:rsidRDefault="00AE381E" w:rsidP="00AE381E">
      <w:pPr>
        <w:spacing w:after="200" w:line="276" w:lineRule="auto"/>
        <w:jc w:val="both"/>
        <w:rPr>
          <w:rFonts w:asciiTheme="minorHAnsi" w:eastAsiaTheme="minorHAnsi" w:hAnsiTheme="minorHAnsi" w:cstheme="minorBidi"/>
          <w:sz w:val="22"/>
          <w:szCs w:val="22"/>
          <w:lang w:val="hr-HR" w:eastAsia="en-US"/>
        </w:rPr>
      </w:pP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Direktor:</w:t>
      </w:r>
    </w:p>
    <w:p w:rsidR="00AE381E" w:rsidRPr="00AE381E" w:rsidRDefault="00AE381E" w:rsidP="00AE381E">
      <w:pPr>
        <w:spacing w:after="200" w:line="276" w:lineRule="auto"/>
        <w:jc w:val="both"/>
        <w:rPr>
          <w:rFonts w:asciiTheme="minorHAnsi" w:eastAsiaTheme="minorHAnsi" w:hAnsiTheme="minorHAnsi" w:cstheme="minorBidi"/>
          <w:sz w:val="22"/>
          <w:szCs w:val="22"/>
          <w:lang w:val="hr-HR" w:eastAsia="en-US"/>
        </w:rPr>
      </w:pP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b/>
      </w:r>
      <w:r>
        <w:rPr>
          <w:rFonts w:asciiTheme="minorHAnsi" w:eastAsiaTheme="minorHAnsi" w:hAnsiTheme="minorHAnsi" w:cstheme="minorBidi"/>
          <w:sz w:val="22"/>
          <w:szCs w:val="22"/>
          <w:lang w:val="hr-HR" w:eastAsia="en-US"/>
        </w:rPr>
        <w:tab/>
      </w:r>
      <w:r w:rsidRPr="00AE381E">
        <w:rPr>
          <w:rFonts w:asciiTheme="minorHAnsi" w:eastAsiaTheme="minorHAnsi" w:hAnsiTheme="minorHAnsi" w:cstheme="minorBidi"/>
          <w:sz w:val="22"/>
          <w:szCs w:val="22"/>
          <w:lang w:val="hr-HR" w:eastAsia="en-US"/>
        </w:rPr>
        <w:t>Anto Bekić, dipl. ing.</w:t>
      </w:r>
    </w:p>
    <w:p w:rsidR="0054064C" w:rsidRDefault="0054064C" w:rsidP="00AE381E">
      <w:pPr>
        <w:rPr>
          <w:rFonts w:ascii="Calibri" w:hAnsi="Calibri"/>
          <w:sz w:val="20"/>
          <w:szCs w:val="20"/>
          <w:lang w:val="hr-HR"/>
        </w:rPr>
      </w:pPr>
    </w:p>
    <w:p w:rsidR="0054064C" w:rsidRDefault="0054064C" w:rsidP="0054064C">
      <w:pPr>
        <w:rPr>
          <w:rFonts w:ascii="Calibri" w:hAnsi="Calibri"/>
          <w:sz w:val="20"/>
          <w:szCs w:val="20"/>
          <w:lang w:val="hr-HR"/>
        </w:rPr>
      </w:pPr>
    </w:p>
    <w:p w:rsidR="0054064C" w:rsidRDefault="0054064C" w:rsidP="0054064C">
      <w:pPr>
        <w:rPr>
          <w:rFonts w:ascii="Calibri" w:hAnsi="Calibri"/>
          <w:sz w:val="20"/>
          <w:szCs w:val="20"/>
          <w:lang w:val="hr-HR"/>
        </w:rPr>
      </w:pPr>
    </w:p>
    <w:p w:rsidR="003374D0" w:rsidRDefault="003374D0" w:rsidP="0054064C">
      <w:pPr>
        <w:rPr>
          <w:rFonts w:ascii="Calibri" w:hAnsi="Calibri"/>
          <w:sz w:val="20"/>
          <w:szCs w:val="20"/>
          <w:lang w:val="hr-HR"/>
        </w:rPr>
      </w:pPr>
    </w:p>
    <w:p w:rsidR="003374D0" w:rsidRDefault="003374D0" w:rsidP="0054064C">
      <w:pPr>
        <w:rPr>
          <w:rFonts w:ascii="Calibri" w:hAnsi="Calibri"/>
          <w:sz w:val="20"/>
          <w:szCs w:val="20"/>
          <w:lang w:val="hr-HR"/>
        </w:rPr>
      </w:pPr>
    </w:p>
    <w:tbl>
      <w:tblPr>
        <w:tblpPr w:leftFromText="181" w:rightFromText="181" w:vertAnchor="page" w:horzAnchor="margin" w:tblpY="15276"/>
        <w:tblW w:w="0" w:type="auto"/>
        <w:tblBorders>
          <w:bottom w:val="single" w:sz="24" w:space="0" w:color="99CC00"/>
        </w:tblBorders>
        <w:tblLook w:val="01E0" w:firstRow="1" w:lastRow="1" w:firstColumn="1" w:lastColumn="1" w:noHBand="0" w:noVBand="0"/>
      </w:tblPr>
      <w:tblGrid>
        <w:gridCol w:w="10432"/>
      </w:tblGrid>
      <w:tr w:rsidR="003374D0" w:rsidRPr="00045278" w:rsidTr="006A6357">
        <w:trPr>
          <w:trHeight w:val="227"/>
        </w:trPr>
        <w:tc>
          <w:tcPr>
            <w:tcW w:w="10886" w:type="dxa"/>
            <w:tcBorders>
              <w:bottom w:val="single" w:sz="24" w:space="0" w:color="00CC00"/>
            </w:tcBorders>
            <w:shd w:val="clear" w:color="auto" w:fill="auto"/>
            <w:tcMar>
              <w:left w:w="57" w:type="dxa"/>
              <w:right w:w="57" w:type="dxa"/>
            </w:tcMar>
            <w:vAlign w:val="center"/>
          </w:tcPr>
          <w:p w:rsidR="003374D0" w:rsidRPr="00045278" w:rsidRDefault="003374D0" w:rsidP="006A6357">
            <w:pPr>
              <w:spacing w:line="200" w:lineRule="exact"/>
              <w:jc w:val="center"/>
              <w:rPr>
                <w:rFonts w:ascii="Calibri" w:hAnsi="Calibri"/>
                <w:color w:val="0000FF"/>
                <w:sz w:val="20"/>
                <w:szCs w:val="20"/>
                <w:lang w:val="hr-HR"/>
              </w:rPr>
            </w:pPr>
            <w:r w:rsidRPr="00045278">
              <w:rPr>
                <w:rFonts w:ascii="Calibri" w:hAnsi="Calibri"/>
                <w:color w:val="0000FF"/>
                <w:sz w:val="20"/>
                <w:szCs w:val="20"/>
                <w:lang w:val="hr-HR"/>
              </w:rPr>
              <w:t xml:space="preserve">22. ožujka – Dan voda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22 travnja – Dan planete Zemlje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5. lipnja – Dan zaštite čovjekove okoline</w:t>
            </w:r>
          </w:p>
        </w:tc>
      </w:tr>
      <w:tr w:rsidR="003374D0" w:rsidRPr="00045278" w:rsidTr="006A6357">
        <w:trPr>
          <w:trHeight w:val="227"/>
        </w:trPr>
        <w:tc>
          <w:tcPr>
            <w:tcW w:w="10886" w:type="dxa"/>
            <w:tcBorders>
              <w:top w:val="single" w:sz="24" w:space="0" w:color="00CC00"/>
              <w:bottom w:val="nil"/>
            </w:tcBorders>
            <w:shd w:val="clear" w:color="auto" w:fill="auto"/>
            <w:tcMar>
              <w:left w:w="57" w:type="dxa"/>
              <w:right w:w="57" w:type="dxa"/>
            </w:tcMar>
            <w:vAlign w:val="center"/>
          </w:tcPr>
          <w:p w:rsidR="003374D0" w:rsidRPr="00045278" w:rsidRDefault="003374D0" w:rsidP="006A6357">
            <w:pPr>
              <w:spacing w:line="200" w:lineRule="exact"/>
              <w:jc w:val="center"/>
              <w:rPr>
                <w:rFonts w:ascii="Calibri" w:hAnsi="Calibri"/>
                <w:color w:val="0000FF"/>
                <w:sz w:val="20"/>
                <w:szCs w:val="20"/>
                <w:lang w:val="hr-HR"/>
              </w:rPr>
            </w:pPr>
            <w:r w:rsidRPr="00045278">
              <w:rPr>
                <w:rFonts w:ascii="Calibri" w:hAnsi="Calibri"/>
                <w:color w:val="0000FF"/>
                <w:sz w:val="20"/>
                <w:szCs w:val="20"/>
                <w:lang w:val="hr-HR"/>
              </w:rPr>
              <w:t xml:space="preserve">Voda je izvor života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Čuvajmo okoliš </w:t>
            </w:r>
            <w:r w:rsidRPr="00045278">
              <w:rPr>
                <w:rFonts w:ascii="Calibri" w:hAnsi="Calibri"/>
                <w:color w:val="0000FF"/>
                <w:sz w:val="20"/>
                <w:szCs w:val="20"/>
                <w:lang w:val="hr-HR"/>
              </w:rPr>
              <w:sym w:font="Symbol" w:char="F0B7"/>
            </w:r>
            <w:r w:rsidRPr="00045278">
              <w:rPr>
                <w:rFonts w:ascii="Calibri" w:hAnsi="Calibri"/>
                <w:color w:val="0000FF"/>
                <w:sz w:val="20"/>
                <w:szCs w:val="20"/>
                <w:lang w:val="hr-HR"/>
              </w:rPr>
              <w:t xml:space="preserve"> Vrijeme ne radi za nas</w:t>
            </w:r>
          </w:p>
        </w:tc>
      </w:tr>
    </w:tbl>
    <w:p w:rsidR="003374D0" w:rsidRDefault="003374D0" w:rsidP="0054064C">
      <w:pPr>
        <w:rPr>
          <w:rFonts w:ascii="Calibri" w:hAnsi="Calibri"/>
          <w:sz w:val="20"/>
          <w:szCs w:val="20"/>
          <w:lang w:val="hr-HR"/>
        </w:rPr>
      </w:pPr>
    </w:p>
    <w:p w:rsidR="003374D0" w:rsidRDefault="003374D0" w:rsidP="0054064C">
      <w:pPr>
        <w:rPr>
          <w:rFonts w:ascii="Calibri" w:hAnsi="Calibri"/>
          <w:sz w:val="20"/>
          <w:szCs w:val="20"/>
          <w:lang w:val="hr-HR"/>
        </w:rPr>
      </w:pPr>
    </w:p>
    <w:sectPr w:rsidR="003374D0" w:rsidSect="009E0B87">
      <w:footerReference w:type="default" r:id="rId9"/>
      <w:pgSz w:w="11906" w:h="16838" w:code="9"/>
      <w:pgMar w:top="454" w:right="567" w:bottom="567"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29" w:rsidRDefault="00710929">
      <w:r>
        <w:separator/>
      </w:r>
    </w:p>
  </w:endnote>
  <w:endnote w:type="continuationSeparator" w:id="0">
    <w:p w:rsidR="00710929" w:rsidRDefault="0071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4C" w:rsidRPr="0054064C" w:rsidRDefault="0054064C" w:rsidP="0054064C">
    <w:pPr>
      <w:pStyle w:val="Podnoje"/>
      <w:jc w:val="center"/>
      <w:rPr>
        <w:rFonts w:ascii="Calibri" w:hAnsi="Calibri"/>
        <w:color w:val="0000FF"/>
        <w:sz w:val="18"/>
        <w:szCs w:val="18"/>
        <w:lang w:val="hr-HR"/>
      </w:rPr>
    </w:pPr>
    <w:r w:rsidRPr="0054064C">
      <w:rPr>
        <w:rFonts w:ascii="Calibri" w:hAnsi="Calibri"/>
        <w:color w:val="0000FF"/>
        <w:sz w:val="18"/>
        <w:szCs w:val="18"/>
        <w:lang w:val="hr-HR"/>
      </w:rPr>
      <w:t xml:space="preserve">Društvo je upisano u sudski registar kod trgovačkog suda u </w:t>
    </w:r>
    <w:r w:rsidR="00526D08">
      <w:rPr>
        <w:rFonts w:ascii="Calibri" w:hAnsi="Calibri"/>
        <w:color w:val="0000FF"/>
        <w:sz w:val="18"/>
        <w:szCs w:val="18"/>
        <w:lang w:val="hr-HR"/>
      </w:rPr>
      <w:t xml:space="preserve">Osijeku – stalna služba u </w:t>
    </w:r>
    <w:r w:rsidRPr="0054064C">
      <w:rPr>
        <w:rFonts w:ascii="Calibri" w:hAnsi="Calibri"/>
        <w:color w:val="0000FF"/>
        <w:sz w:val="18"/>
        <w:szCs w:val="18"/>
        <w:lang w:val="hr-HR"/>
      </w:rPr>
      <w:t>Slavonskom Brodu pod MBS 050</w:t>
    </w:r>
    <w:r w:rsidR="00526D08">
      <w:rPr>
        <w:rFonts w:ascii="Calibri" w:hAnsi="Calibri"/>
        <w:color w:val="0000FF"/>
        <w:sz w:val="18"/>
        <w:szCs w:val="18"/>
        <w:lang w:val="hr-HR"/>
      </w:rPr>
      <w:t>029429</w:t>
    </w:r>
  </w:p>
  <w:p w:rsidR="0054064C" w:rsidRPr="0054064C" w:rsidRDefault="0054064C" w:rsidP="0054064C">
    <w:pPr>
      <w:pStyle w:val="Podnoje"/>
      <w:jc w:val="center"/>
      <w:rPr>
        <w:rFonts w:ascii="Calibri" w:hAnsi="Calibri"/>
        <w:color w:val="0000FF"/>
        <w:sz w:val="18"/>
        <w:szCs w:val="18"/>
        <w:lang w:val="hr-HR"/>
      </w:rPr>
    </w:pPr>
    <w:r w:rsidRPr="0054064C">
      <w:rPr>
        <w:rFonts w:ascii="Calibri" w:hAnsi="Calibri"/>
        <w:color w:val="0000FF"/>
        <w:sz w:val="18"/>
        <w:szCs w:val="18"/>
        <w:lang w:val="hr-HR"/>
      </w:rPr>
      <w:t xml:space="preserve">Temeljni kapital društva iznosi </w:t>
    </w:r>
    <w:r w:rsidR="00526D08">
      <w:rPr>
        <w:rFonts w:ascii="Calibri" w:hAnsi="Calibri"/>
        <w:color w:val="0000FF"/>
        <w:sz w:val="18"/>
        <w:szCs w:val="18"/>
        <w:lang w:val="hr-HR"/>
      </w:rPr>
      <w:t>86</w:t>
    </w:r>
    <w:r w:rsidRPr="0054064C">
      <w:rPr>
        <w:rFonts w:ascii="Calibri" w:hAnsi="Calibri"/>
        <w:color w:val="0000FF"/>
        <w:sz w:val="18"/>
        <w:szCs w:val="18"/>
        <w:lang w:val="hr-HR"/>
      </w:rPr>
      <w:t>.</w:t>
    </w:r>
    <w:r w:rsidR="00526D08">
      <w:rPr>
        <w:rFonts w:ascii="Calibri" w:hAnsi="Calibri"/>
        <w:color w:val="0000FF"/>
        <w:sz w:val="18"/>
        <w:szCs w:val="18"/>
        <w:lang w:val="hr-HR"/>
      </w:rPr>
      <w:t>669</w:t>
    </w:r>
    <w:r w:rsidRPr="0054064C">
      <w:rPr>
        <w:rFonts w:ascii="Calibri" w:hAnsi="Calibri"/>
        <w:color w:val="0000FF"/>
        <w:sz w:val="18"/>
        <w:szCs w:val="18"/>
        <w:lang w:val="hr-HR"/>
      </w:rPr>
      <w:t>.800,00 kn. Uprava društva: Ant</w:t>
    </w:r>
    <w:r w:rsidR="00A56D0D">
      <w:rPr>
        <w:rFonts w:ascii="Calibri" w:hAnsi="Calibri"/>
        <w:color w:val="0000FF"/>
        <w:sz w:val="18"/>
        <w:szCs w:val="18"/>
        <w:lang w:val="hr-HR"/>
      </w:rPr>
      <w:t>o</w:t>
    </w:r>
    <w:r w:rsidRPr="0054064C">
      <w:rPr>
        <w:rFonts w:ascii="Calibri" w:hAnsi="Calibri"/>
        <w:color w:val="0000FF"/>
        <w:sz w:val="18"/>
        <w:szCs w:val="18"/>
        <w:lang w:val="hr-HR"/>
      </w:rPr>
      <w:t xml:space="preserve"> </w:t>
    </w:r>
    <w:r w:rsidR="00A56D0D">
      <w:rPr>
        <w:rFonts w:ascii="Calibri" w:hAnsi="Calibri"/>
        <w:color w:val="0000FF"/>
        <w:sz w:val="18"/>
        <w:szCs w:val="18"/>
        <w:lang w:val="hr-HR"/>
      </w:rPr>
      <w:t>Bekić</w:t>
    </w:r>
    <w:r w:rsidRPr="0054064C">
      <w:rPr>
        <w:rFonts w:ascii="Calibri" w:hAnsi="Calibri"/>
        <w:color w:val="0000FF"/>
        <w:sz w:val="18"/>
        <w:szCs w:val="18"/>
        <w:lang w:val="hr-HR"/>
      </w:rPr>
      <w:t>, dipl. 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29" w:rsidRDefault="00710929">
      <w:r>
        <w:separator/>
      </w:r>
    </w:p>
  </w:footnote>
  <w:footnote w:type="continuationSeparator" w:id="0">
    <w:p w:rsidR="00710929" w:rsidRDefault="00710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EDC"/>
    <w:multiLevelType w:val="multilevel"/>
    <w:tmpl w:val="56149310"/>
    <w:lvl w:ilvl="0">
      <w:start w:val="1"/>
      <w:numFmt w:val="upperLetter"/>
      <w:lvlText w:val="%1."/>
      <w:lvlJc w:val="right"/>
      <w:pPr>
        <w:tabs>
          <w:tab w:val="num" w:pos="397"/>
        </w:tabs>
        <w:ind w:left="397"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650373F"/>
    <w:multiLevelType w:val="multilevel"/>
    <w:tmpl w:val="F3BC3138"/>
    <w:lvl w:ilvl="0">
      <w:start w:val="1"/>
      <w:numFmt w:val="upperLetter"/>
      <w:lvlText w:val="%1."/>
      <w:lvlJc w:val="right"/>
      <w:pPr>
        <w:tabs>
          <w:tab w:val="num" w:pos="397"/>
        </w:tabs>
        <w:ind w:left="39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DFB50F3"/>
    <w:multiLevelType w:val="multilevel"/>
    <w:tmpl w:val="5AA87A20"/>
    <w:lvl w:ilvl="0">
      <w:start w:val="1"/>
      <w:numFmt w:val="upperLetter"/>
      <w:lvlText w:val="%1."/>
      <w:lvlJc w:val="left"/>
      <w:pPr>
        <w:tabs>
          <w:tab w:val="num" w:pos="397"/>
        </w:tabs>
        <w:ind w:left="39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EFE0246"/>
    <w:multiLevelType w:val="hybridMultilevel"/>
    <w:tmpl w:val="8B84C628"/>
    <w:lvl w:ilvl="0" w:tplc="96DE34DE">
      <w:start w:val="1"/>
      <w:numFmt w:val="upperLetter"/>
      <w:lvlText w:val="%1."/>
      <w:lvlJc w:val="left"/>
      <w:pPr>
        <w:tabs>
          <w:tab w:val="num" w:pos="340"/>
        </w:tabs>
        <w:ind w:left="397"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6657636A"/>
    <w:multiLevelType w:val="multilevel"/>
    <w:tmpl w:val="20884E06"/>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2626C8C"/>
    <w:multiLevelType w:val="hybridMultilevel"/>
    <w:tmpl w:val="1AC08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DD101EA"/>
    <w:multiLevelType w:val="multilevel"/>
    <w:tmpl w:val="BF78DD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1E"/>
    <w:rsid w:val="00004898"/>
    <w:rsid w:val="00007BBE"/>
    <w:rsid w:val="00007E2A"/>
    <w:rsid w:val="0002362D"/>
    <w:rsid w:val="00031AAF"/>
    <w:rsid w:val="000413F9"/>
    <w:rsid w:val="000432EF"/>
    <w:rsid w:val="00044FA2"/>
    <w:rsid w:val="00045278"/>
    <w:rsid w:val="00063884"/>
    <w:rsid w:val="0006728D"/>
    <w:rsid w:val="000733DD"/>
    <w:rsid w:val="00077DA7"/>
    <w:rsid w:val="000930A2"/>
    <w:rsid w:val="000B2054"/>
    <w:rsid w:val="000D351A"/>
    <w:rsid w:val="000E1726"/>
    <w:rsid w:val="00101E46"/>
    <w:rsid w:val="00111446"/>
    <w:rsid w:val="00142457"/>
    <w:rsid w:val="00144A93"/>
    <w:rsid w:val="00153D95"/>
    <w:rsid w:val="00160EEC"/>
    <w:rsid w:val="00166A85"/>
    <w:rsid w:val="00173EAB"/>
    <w:rsid w:val="00183452"/>
    <w:rsid w:val="00183D7A"/>
    <w:rsid w:val="00185D09"/>
    <w:rsid w:val="0019352B"/>
    <w:rsid w:val="001B7471"/>
    <w:rsid w:val="001C7316"/>
    <w:rsid w:val="001E3BC2"/>
    <w:rsid w:val="001F4F6E"/>
    <w:rsid w:val="001F7ED4"/>
    <w:rsid w:val="00200F09"/>
    <w:rsid w:val="00203DF4"/>
    <w:rsid w:val="002154E9"/>
    <w:rsid w:val="00217F4C"/>
    <w:rsid w:val="00223F15"/>
    <w:rsid w:val="00257D3B"/>
    <w:rsid w:val="0026308F"/>
    <w:rsid w:val="002711FD"/>
    <w:rsid w:val="002A54A8"/>
    <w:rsid w:val="002B1DE5"/>
    <w:rsid w:val="002B5496"/>
    <w:rsid w:val="002C6297"/>
    <w:rsid w:val="002D0749"/>
    <w:rsid w:val="002D1FFC"/>
    <w:rsid w:val="002D26EE"/>
    <w:rsid w:val="00301AA1"/>
    <w:rsid w:val="00302508"/>
    <w:rsid w:val="00304FF3"/>
    <w:rsid w:val="003125A3"/>
    <w:rsid w:val="00316A6D"/>
    <w:rsid w:val="003374D0"/>
    <w:rsid w:val="00344525"/>
    <w:rsid w:val="0036048D"/>
    <w:rsid w:val="00361DC8"/>
    <w:rsid w:val="00365658"/>
    <w:rsid w:val="0036608C"/>
    <w:rsid w:val="0038102D"/>
    <w:rsid w:val="0038299D"/>
    <w:rsid w:val="00385718"/>
    <w:rsid w:val="0038578F"/>
    <w:rsid w:val="003A459A"/>
    <w:rsid w:val="003A6C18"/>
    <w:rsid w:val="003B1599"/>
    <w:rsid w:val="003B5D1A"/>
    <w:rsid w:val="003C04DD"/>
    <w:rsid w:val="003C4CC5"/>
    <w:rsid w:val="003E726B"/>
    <w:rsid w:val="0040090A"/>
    <w:rsid w:val="00404ED3"/>
    <w:rsid w:val="004125B7"/>
    <w:rsid w:val="00413165"/>
    <w:rsid w:val="00436E19"/>
    <w:rsid w:val="00462C91"/>
    <w:rsid w:val="00464B95"/>
    <w:rsid w:val="00465B75"/>
    <w:rsid w:val="004804D0"/>
    <w:rsid w:val="004A008D"/>
    <w:rsid w:val="004A15ED"/>
    <w:rsid w:val="004A37AF"/>
    <w:rsid w:val="004C65FF"/>
    <w:rsid w:val="004D7FA2"/>
    <w:rsid w:val="004E4870"/>
    <w:rsid w:val="004F2539"/>
    <w:rsid w:val="004F314B"/>
    <w:rsid w:val="005042FB"/>
    <w:rsid w:val="00512A3E"/>
    <w:rsid w:val="005242A4"/>
    <w:rsid w:val="00526D08"/>
    <w:rsid w:val="0054064C"/>
    <w:rsid w:val="00563960"/>
    <w:rsid w:val="00575E26"/>
    <w:rsid w:val="00576491"/>
    <w:rsid w:val="005A56A8"/>
    <w:rsid w:val="005B0416"/>
    <w:rsid w:val="005B2BE7"/>
    <w:rsid w:val="005C4F62"/>
    <w:rsid w:val="005C52E6"/>
    <w:rsid w:val="005C5642"/>
    <w:rsid w:val="005D1497"/>
    <w:rsid w:val="005D6944"/>
    <w:rsid w:val="005E7B48"/>
    <w:rsid w:val="005F232A"/>
    <w:rsid w:val="005F2B54"/>
    <w:rsid w:val="00606587"/>
    <w:rsid w:val="0061220E"/>
    <w:rsid w:val="00625D25"/>
    <w:rsid w:val="0063664C"/>
    <w:rsid w:val="00637380"/>
    <w:rsid w:val="006474C3"/>
    <w:rsid w:val="0065113E"/>
    <w:rsid w:val="00655013"/>
    <w:rsid w:val="00662544"/>
    <w:rsid w:val="0066390E"/>
    <w:rsid w:val="00683882"/>
    <w:rsid w:val="00684470"/>
    <w:rsid w:val="006908AE"/>
    <w:rsid w:val="00690C46"/>
    <w:rsid w:val="006A3EE5"/>
    <w:rsid w:val="006A6357"/>
    <w:rsid w:val="007051A3"/>
    <w:rsid w:val="00710929"/>
    <w:rsid w:val="00735A63"/>
    <w:rsid w:val="00746D61"/>
    <w:rsid w:val="0075395C"/>
    <w:rsid w:val="00756D8C"/>
    <w:rsid w:val="00760719"/>
    <w:rsid w:val="00764E38"/>
    <w:rsid w:val="0078689C"/>
    <w:rsid w:val="00797B9E"/>
    <w:rsid w:val="007B6CA1"/>
    <w:rsid w:val="007D3772"/>
    <w:rsid w:val="007D790F"/>
    <w:rsid w:val="007F2141"/>
    <w:rsid w:val="00801EDE"/>
    <w:rsid w:val="00822A75"/>
    <w:rsid w:val="008639DA"/>
    <w:rsid w:val="00884B1A"/>
    <w:rsid w:val="00887190"/>
    <w:rsid w:val="00890C00"/>
    <w:rsid w:val="008A3B64"/>
    <w:rsid w:val="008A47CB"/>
    <w:rsid w:val="008A6DCE"/>
    <w:rsid w:val="008A6DFA"/>
    <w:rsid w:val="008F11B6"/>
    <w:rsid w:val="00903F73"/>
    <w:rsid w:val="00921C09"/>
    <w:rsid w:val="009359FF"/>
    <w:rsid w:val="009571F3"/>
    <w:rsid w:val="00964BF0"/>
    <w:rsid w:val="00970936"/>
    <w:rsid w:val="009813EA"/>
    <w:rsid w:val="00992E4B"/>
    <w:rsid w:val="009B62FC"/>
    <w:rsid w:val="009C272B"/>
    <w:rsid w:val="009C72EC"/>
    <w:rsid w:val="009D2EF0"/>
    <w:rsid w:val="009D616E"/>
    <w:rsid w:val="009E0B87"/>
    <w:rsid w:val="009E736F"/>
    <w:rsid w:val="00A17122"/>
    <w:rsid w:val="00A241DE"/>
    <w:rsid w:val="00A269E6"/>
    <w:rsid w:val="00A31AF6"/>
    <w:rsid w:val="00A33871"/>
    <w:rsid w:val="00A366D9"/>
    <w:rsid w:val="00A44326"/>
    <w:rsid w:val="00A46DDD"/>
    <w:rsid w:val="00A47C0A"/>
    <w:rsid w:val="00A56D0D"/>
    <w:rsid w:val="00A67FCE"/>
    <w:rsid w:val="00A72D91"/>
    <w:rsid w:val="00A85100"/>
    <w:rsid w:val="00A90E8B"/>
    <w:rsid w:val="00AA68B1"/>
    <w:rsid w:val="00AB0E8F"/>
    <w:rsid w:val="00AC2C70"/>
    <w:rsid w:val="00AC6489"/>
    <w:rsid w:val="00AE381E"/>
    <w:rsid w:val="00AE5E24"/>
    <w:rsid w:val="00AE5EE7"/>
    <w:rsid w:val="00B01B35"/>
    <w:rsid w:val="00B03FA2"/>
    <w:rsid w:val="00B125E1"/>
    <w:rsid w:val="00B13376"/>
    <w:rsid w:val="00B17EFA"/>
    <w:rsid w:val="00B2247F"/>
    <w:rsid w:val="00B24AEB"/>
    <w:rsid w:val="00B24D8B"/>
    <w:rsid w:val="00B35AA1"/>
    <w:rsid w:val="00B35AB9"/>
    <w:rsid w:val="00B35D65"/>
    <w:rsid w:val="00B61520"/>
    <w:rsid w:val="00B63358"/>
    <w:rsid w:val="00B64694"/>
    <w:rsid w:val="00B729EB"/>
    <w:rsid w:val="00B816A6"/>
    <w:rsid w:val="00B91BE1"/>
    <w:rsid w:val="00B96805"/>
    <w:rsid w:val="00BA3511"/>
    <w:rsid w:val="00BB2A3B"/>
    <w:rsid w:val="00BB31CA"/>
    <w:rsid w:val="00BB4C64"/>
    <w:rsid w:val="00BD1522"/>
    <w:rsid w:val="00BE726C"/>
    <w:rsid w:val="00C00B8A"/>
    <w:rsid w:val="00C3626A"/>
    <w:rsid w:val="00C45AD4"/>
    <w:rsid w:val="00C472EB"/>
    <w:rsid w:val="00C72785"/>
    <w:rsid w:val="00C73B8E"/>
    <w:rsid w:val="00C74E19"/>
    <w:rsid w:val="00CB7420"/>
    <w:rsid w:val="00CC3FA1"/>
    <w:rsid w:val="00CC5A20"/>
    <w:rsid w:val="00CC6982"/>
    <w:rsid w:val="00CC6C61"/>
    <w:rsid w:val="00CD2686"/>
    <w:rsid w:val="00CE1BE2"/>
    <w:rsid w:val="00CF1D24"/>
    <w:rsid w:val="00D03562"/>
    <w:rsid w:val="00D20CD1"/>
    <w:rsid w:val="00D22CBD"/>
    <w:rsid w:val="00D43CC1"/>
    <w:rsid w:val="00D54EBF"/>
    <w:rsid w:val="00D56411"/>
    <w:rsid w:val="00D566C1"/>
    <w:rsid w:val="00D62813"/>
    <w:rsid w:val="00D63411"/>
    <w:rsid w:val="00D71E97"/>
    <w:rsid w:val="00D80A60"/>
    <w:rsid w:val="00D9138D"/>
    <w:rsid w:val="00DA181C"/>
    <w:rsid w:val="00DB3E33"/>
    <w:rsid w:val="00DB4A8F"/>
    <w:rsid w:val="00DB4E90"/>
    <w:rsid w:val="00DC36BF"/>
    <w:rsid w:val="00DC62C9"/>
    <w:rsid w:val="00DC7C79"/>
    <w:rsid w:val="00DE0D0E"/>
    <w:rsid w:val="00DE5A0B"/>
    <w:rsid w:val="00DF20F6"/>
    <w:rsid w:val="00DF7501"/>
    <w:rsid w:val="00DF7BBB"/>
    <w:rsid w:val="00E1424E"/>
    <w:rsid w:val="00E238AD"/>
    <w:rsid w:val="00E356EC"/>
    <w:rsid w:val="00E5323B"/>
    <w:rsid w:val="00E761DF"/>
    <w:rsid w:val="00E77993"/>
    <w:rsid w:val="00E815C5"/>
    <w:rsid w:val="00E977F9"/>
    <w:rsid w:val="00EB606B"/>
    <w:rsid w:val="00ED09CD"/>
    <w:rsid w:val="00ED0A6D"/>
    <w:rsid w:val="00EE2435"/>
    <w:rsid w:val="00EE57CE"/>
    <w:rsid w:val="00EF42E6"/>
    <w:rsid w:val="00F02474"/>
    <w:rsid w:val="00F03223"/>
    <w:rsid w:val="00F13D62"/>
    <w:rsid w:val="00F21166"/>
    <w:rsid w:val="00F25448"/>
    <w:rsid w:val="00F3334A"/>
    <w:rsid w:val="00F33DDD"/>
    <w:rsid w:val="00F41E08"/>
    <w:rsid w:val="00F476D0"/>
    <w:rsid w:val="00F5059A"/>
    <w:rsid w:val="00F5764F"/>
    <w:rsid w:val="00F87A78"/>
    <w:rsid w:val="00F932E7"/>
    <w:rsid w:val="00FA53DD"/>
    <w:rsid w:val="00FC2663"/>
    <w:rsid w:val="00FD01FC"/>
    <w:rsid w:val="00FD486B"/>
    <w:rsid w:val="00FE5BB9"/>
    <w:rsid w:val="00FF4394"/>
    <w:rsid w:val="00FF6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1F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1F4F6E"/>
    <w:rPr>
      <w:color w:val="0000FF"/>
      <w:u w:val="single"/>
    </w:rPr>
  </w:style>
  <w:style w:type="paragraph" w:styleId="Zaglavlje">
    <w:name w:val="header"/>
    <w:basedOn w:val="Normal"/>
    <w:rsid w:val="0054064C"/>
    <w:pPr>
      <w:tabs>
        <w:tab w:val="center" w:pos="4536"/>
        <w:tab w:val="right" w:pos="9072"/>
      </w:tabs>
    </w:pPr>
  </w:style>
  <w:style w:type="paragraph" w:styleId="Podnoje">
    <w:name w:val="footer"/>
    <w:basedOn w:val="Normal"/>
    <w:rsid w:val="0054064C"/>
    <w:pPr>
      <w:tabs>
        <w:tab w:val="center" w:pos="4536"/>
        <w:tab w:val="right" w:pos="9072"/>
      </w:tabs>
    </w:pPr>
  </w:style>
  <w:style w:type="paragraph" w:styleId="Tekstbalonia">
    <w:name w:val="Balloon Text"/>
    <w:basedOn w:val="Normal"/>
    <w:link w:val="TekstbaloniaChar"/>
    <w:rsid w:val="00AE381E"/>
    <w:rPr>
      <w:rFonts w:ascii="Tahoma" w:hAnsi="Tahoma" w:cs="Tahoma"/>
      <w:sz w:val="16"/>
      <w:szCs w:val="16"/>
    </w:rPr>
  </w:style>
  <w:style w:type="character" w:customStyle="1" w:styleId="TekstbaloniaChar">
    <w:name w:val="Tekst balončića Char"/>
    <w:basedOn w:val="Zadanifontodlomka"/>
    <w:link w:val="Tekstbalonia"/>
    <w:rsid w:val="00AE381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1F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1F4F6E"/>
    <w:rPr>
      <w:color w:val="0000FF"/>
      <w:u w:val="single"/>
    </w:rPr>
  </w:style>
  <w:style w:type="paragraph" w:styleId="Zaglavlje">
    <w:name w:val="header"/>
    <w:basedOn w:val="Normal"/>
    <w:rsid w:val="0054064C"/>
    <w:pPr>
      <w:tabs>
        <w:tab w:val="center" w:pos="4536"/>
        <w:tab w:val="right" w:pos="9072"/>
      </w:tabs>
    </w:pPr>
  </w:style>
  <w:style w:type="paragraph" w:styleId="Podnoje">
    <w:name w:val="footer"/>
    <w:basedOn w:val="Normal"/>
    <w:rsid w:val="0054064C"/>
    <w:pPr>
      <w:tabs>
        <w:tab w:val="center" w:pos="4536"/>
        <w:tab w:val="right" w:pos="9072"/>
      </w:tabs>
    </w:pPr>
  </w:style>
  <w:style w:type="paragraph" w:styleId="Tekstbalonia">
    <w:name w:val="Balloon Text"/>
    <w:basedOn w:val="Normal"/>
    <w:link w:val="TekstbaloniaChar"/>
    <w:rsid w:val="00AE381E"/>
    <w:rPr>
      <w:rFonts w:ascii="Tahoma" w:hAnsi="Tahoma" w:cs="Tahoma"/>
      <w:sz w:val="16"/>
      <w:szCs w:val="16"/>
    </w:rPr>
  </w:style>
  <w:style w:type="character" w:customStyle="1" w:styleId="TekstbaloniaChar">
    <w:name w:val="Tekst balončića Char"/>
    <w:basedOn w:val="Zadanifontodlomka"/>
    <w:link w:val="Tekstbalonia"/>
    <w:rsid w:val="00AE381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pic1\Documents\memorandum%20tekija.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tekija</Template>
  <TotalTime>4</TotalTime>
  <Pages>1</Pages>
  <Words>699</Words>
  <Characters>3986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TEKIJA d.o.o.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Krunoslav Prpić</dc:creator>
  <cp:lastModifiedBy>Krunoslav Prpić</cp:lastModifiedBy>
  <cp:revision>3</cp:revision>
  <cp:lastPrinted>2014-04-30T09:41:00Z</cp:lastPrinted>
  <dcterms:created xsi:type="dcterms:W3CDTF">2021-07-07T12:19:00Z</dcterms:created>
  <dcterms:modified xsi:type="dcterms:W3CDTF">2022-01-25T13:14:00Z</dcterms:modified>
</cp:coreProperties>
</file>