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</w:r>
    </w:p>
    <w:tbl>
      <w:tblPr>
        <w:tblW w:w="10432" w:type="dxa"/>
        <w:jc w:val="left"/>
        <w:tblInd w:w="-51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0" w:lastRow="1" w:firstColumn="1" w:lastColumn="1" w:noHBand="0" w:val="01e0"/>
      </w:tblPr>
      <w:tblGrid>
        <w:gridCol w:w="3449"/>
        <w:gridCol w:w="6982"/>
      </w:tblGrid>
      <w:tr>
        <w:trPr>
          <w:trHeight w:val="1433" w:hRule="atLeast"/>
        </w:trPr>
        <w:tc>
          <w:tcPr>
            <w:tcW w:w="3449" w:type="dxa"/>
            <w:tcBorders>
              <w:bottom w:val="single" w:sz="24" w:space="0" w:color="00CC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0000FF"/>
                <w:sz w:val="20"/>
                <w:szCs w:val="20"/>
                <w:lang w:val="hr-HR"/>
              </w:rPr>
            </w:pPr>
            <w:r>
              <w:rPr/>
              <w:drawing>
                <wp:inline distT="0" distB="0" distL="0" distR="0">
                  <wp:extent cx="1531620" cy="560705"/>
                  <wp:effectExtent l="0" t="0" r="0" b="0"/>
                  <wp:docPr id="1" name="Slika 1" descr="znak_tek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znak_tek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00FF"/>
                <w:spacing w:val="-12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color w:val="0000FF"/>
                <w:spacing w:val="-12"/>
                <w:sz w:val="20"/>
                <w:szCs w:val="20"/>
                <w:lang w:val="hr-HR"/>
              </w:rPr>
              <w:t>d.o.o. za  obavljanje vodnih usluga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00FF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t>Vodovodna 1,  34000  Požega</w:t>
            </w:r>
          </w:p>
        </w:tc>
        <w:tc>
          <w:tcPr>
            <w:tcW w:w="6982" w:type="dxa"/>
            <w:tcBorders>
              <w:bottom w:val="single" w:sz="24" w:space="0" w:color="00CC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/>
                <w:color w:val="0000FF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  <w:lang w:val="hr-HR"/>
              </w:rPr>
            </w:r>
          </w:p>
          <w:p>
            <w:pPr>
              <w:pStyle w:val="Normal"/>
              <w:widowControl w:val="false"/>
              <w:jc w:val="right"/>
              <w:rPr>
                <w:rFonts w:ascii="Calibri" w:hAnsi="Calibri"/>
                <w:color w:val="0000FF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t xml:space="preserve">Tel. (034) 312 450 </w:t>
            </w:r>
            <w:r>
              <w:rPr>
                <w:rFonts w:eastAsia="Symbol" w:cs="Symbol" w:ascii="Symbol" w:hAnsi="Symbol"/>
                <w:color w:val="0000FF"/>
                <w:sz w:val="20"/>
                <w:szCs w:val="20"/>
                <w:lang w:val="hr-HR"/>
              </w:rPr>
              <w:t></w:t>
            </w:r>
            <w:r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t xml:space="preserve"> Fax. (034) 312 480</w:t>
            </w:r>
          </w:p>
          <w:p>
            <w:pPr>
              <w:pStyle w:val="Normal"/>
              <w:widowControl w:val="false"/>
              <w:jc w:val="right"/>
              <w:rPr>
                <w:rFonts w:ascii="Calibri" w:hAnsi="Calibri"/>
                <w:color w:val="0000FF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t xml:space="preserve">e-mail: info@tekija.hr </w:t>
            </w:r>
            <w:r>
              <w:rPr>
                <w:rFonts w:eastAsia="Symbol" w:cs="Symbol" w:ascii="Symbol" w:hAnsi="Symbol"/>
                <w:color w:val="0000FF"/>
                <w:sz w:val="20"/>
                <w:szCs w:val="20"/>
                <w:lang w:val="hr-HR"/>
              </w:rPr>
              <w:t></w:t>
            </w:r>
            <w:r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t xml:space="preserve"> web: www.tekija.hr</w:t>
            </w:r>
          </w:p>
          <w:p>
            <w:pPr>
              <w:pStyle w:val="Normal"/>
              <w:widowControl w:val="false"/>
              <w:jc w:val="right"/>
              <w:rPr>
                <w:rFonts w:ascii="Calibri" w:hAnsi="Calibri"/>
                <w:color w:val="0000FF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t>IBAN: HR0723860021520010029 Podravska banka d.d.</w:t>
            </w:r>
          </w:p>
          <w:p>
            <w:pPr>
              <w:pStyle w:val="Normal"/>
              <w:widowControl w:val="false"/>
              <w:jc w:val="right"/>
              <w:rPr>
                <w:rFonts w:ascii="Calibri" w:hAnsi="Calibri"/>
                <w:color w:val="0000FF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t xml:space="preserve">Matični broj: 3322157 </w:t>
            </w:r>
            <w:r>
              <w:rPr>
                <w:rFonts w:eastAsia="Symbol" w:cs="Symbol" w:ascii="Symbol" w:hAnsi="Symbol"/>
                <w:color w:val="0000FF"/>
                <w:sz w:val="20"/>
                <w:szCs w:val="20"/>
                <w:lang w:val="hr-HR"/>
              </w:rPr>
              <w:t></w:t>
            </w:r>
            <w:r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t xml:space="preserve"> OIB: 57790565988</w:t>
            </w:r>
          </w:p>
        </w:tc>
      </w:tr>
    </w:tbl>
    <w:p>
      <w:pPr>
        <w:pStyle w:val="Normal"/>
        <w:rPr>
          <w:rFonts w:ascii="Calibri" w:hAnsi="Calibri"/>
          <w:sz w:val="20"/>
          <w:szCs w:val="20"/>
          <w:lang w:val="hr-HR"/>
        </w:rPr>
      </w:pPr>
      <w:r>
        <w:rPr>
          <w:rFonts w:ascii="Calibri" w:hAnsi="Calibri"/>
          <w:sz w:val="20"/>
          <w:szCs w:val="20"/>
          <w:lang w:val="hr-HR"/>
        </w:rPr>
      </w:r>
    </w:p>
    <w:p>
      <w:pPr>
        <w:pStyle w:val="Normal"/>
        <w:spacing w:before="0" w:after="120"/>
        <w:jc w:val="both"/>
        <w:rPr>
          <w:rFonts w:ascii="Calibri" w:hAnsi="Calibri" w:eastAsia="Calibri" w:cs="" w:asciiTheme="minorHAnsi" w:cstheme="minorBidi" w:eastAsiaTheme="minorHAnsi" w:hAnsiTheme="minorHAnsi"/>
          <w:b/>
          <w:b/>
          <w:sz w:val="22"/>
          <w:szCs w:val="22"/>
          <w:lang w:val="hr-HR" w:eastAsia="en-US"/>
        </w:rPr>
      </w:pPr>
      <w:r>
        <w:rPr>
          <w:rFonts w:eastAsia="Calibri" w:cs="" w:cstheme="minorBidi" w:eastAsiaTheme="minorHAnsi" w:ascii="Calibri" w:hAnsi="Calibri"/>
          <w:b/>
          <w:sz w:val="22"/>
          <w:szCs w:val="22"/>
          <w:lang w:val="hr-HR" w:eastAsia="en-US"/>
        </w:rPr>
      </w:r>
    </w:p>
    <w:p>
      <w:pPr>
        <w:pStyle w:val="Normal"/>
        <w:spacing w:before="0" w:after="120"/>
        <w:jc w:val="both"/>
        <w:rPr>
          <w:rFonts w:ascii="Calibri" w:hAnsi="Calibri" w:eastAsia="Calibri" w:cs="" w:asciiTheme="minorHAnsi" w:cstheme="minorBidi" w:eastAsiaTheme="minorHAnsi" w:hAnsiTheme="minorHAnsi"/>
          <w:b/>
          <w:b/>
          <w:sz w:val="22"/>
          <w:szCs w:val="22"/>
          <w:lang w:val="hr-HR"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b/>
          <w:sz w:val="22"/>
          <w:szCs w:val="22"/>
          <w:lang w:val="hr-HR" w:eastAsia="en-US"/>
        </w:rPr>
        <w:t>Požega, 31. siječnja 2022.g.</w:t>
      </w:r>
    </w:p>
    <w:p>
      <w:pPr>
        <w:pStyle w:val="Normal"/>
        <w:spacing w:before="0" w:after="120"/>
        <w:jc w:val="both"/>
        <w:rPr>
          <w:rFonts w:ascii="Calibri" w:hAnsi="Calibri" w:eastAsia="Calibri" w:cs="" w:asciiTheme="minorHAnsi" w:cstheme="minorBidi" w:eastAsiaTheme="minorHAnsi" w:hAnsiTheme="minorHAnsi"/>
          <w:b/>
          <w:b/>
          <w:sz w:val="22"/>
          <w:szCs w:val="22"/>
          <w:lang w:val="hr-HR" w:eastAsia="en-US"/>
        </w:rPr>
      </w:pPr>
      <w:r>
        <w:rPr>
          <w:rFonts w:eastAsia="Calibri" w:cs="" w:cstheme="minorBidi" w:eastAsiaTheme="minorHAnsi" w:ascii="Calibri" w:hAnsi="Calibri"/>
          <w:b/>
          <w:sz w:val="22"/>
          <w:szCs w:val="22"/>
          <w:lang w:val="hr-HR" w:eastAsia="en-US"/>
        </w:rPr>
      </w:r>
    </w:p>
    <w:p>
      <w:pPr>
        <w:pStyle w:val="Normal"/>
        <w:spacing w:before="0" w:after="120"/>
        <w:jc w:val="both"/>
        <w:rPr>
          <w:rFonts w:ascii="Calibri" w:hAnsi="Calibri" w:eastAsia="Calibri" w:cs="" w:asciiTheme="minorHAnsi" w:cstheme="minorBidi" w:eastAsiaTheme="minorHAnsi" w:hAnsiTheme="minorHAnsi"/>
          <w:b/>
          <w:b/>
          <w:sz w:val="22"/>
          <w:szCs w:val="22"/>
          <w:lang w:val="hr-HR" w:eastAsia="en-US"/>
        </w:rPr>
      </w:pPr>
      <w:r>
        <w:rPr>
          <w:rFonts w:eastAsia="Calibri" w:cs="" w:cstheme="minorBidi" w:eastAsiaTheme="minorHAnsi" w:ascii="Calibri" w:hAnsi="Calibri"/>
          <w:b/>
          <w:sz w:val="22"/>
          <w:szCs w:val="22"/>
          <w:lang w:val="hr-HR" w:eastAsia="en-US"/>
        </w:rPr>
      </w:r>
    </w:p>
    <w:p>
      <w:pPr>
        <w:pStyle w:val="Normal"/>
        <w:spacing w:before="0" w:after="120"/>
        <w:jc w:val="center"/>
        <w:rPr>
          <w:rFonts w:ascii="Calibri" w:hAnsi="Calibri" w:eastAsia="Calibri" w:cs="" w:asciiTheme="minorHAnsi" w:cstheme="minorBidi" w:eastAsiaTheme="minorHAnsi" w:hAnsiTheme="minorHAnsi"/>
          <w:b/>
          <w:b/>
          <w:sz w:val="22"/>
          <w:szCs w:val="22"/>
          <w:lang w:val="hr-HR"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b/>
          <w:sz w:val="22"/>
          <w:szCs w:val="22"/>
          <w:lang w:val="hr-HR" w:eastAsia="en-US"/>
        </w:rPr>
        <w:t>Predmet: Javni poziv za sudjelovanje u postupku savjetovanja s javnošću u donošenju –</w:t>
      </w:r>
    </w:p>
    <w:p>
      <w:pPr>
        <w:pStyle w:val="Normal"/>
        <w:spacing w:before="0" w:after="120"/>
        <w:jc w:val="center"/>
        <w:rPr>
          <w:rFonts w:ascii="Calibri" w:hAnsi="Calibri" w:eastAsia="Calibri" w:cs="" w:asciiTheme="minorHAnsi" w:cstheme="minorBidi" w:eastAsiaTheme="minorHAnsi" w:hAnsiTheme="minorHAnsi"/>
          <w:b/>
          <w:b/>
          <w:sz w:val="22"/>
          <w:szCs w:val="22"/>
          <w:lang w:val="hr-HR" w:eastAsia="en-US"/>
        </w:rPr>
      </w:pPr>
      <w:r>
        <w:rPr>
          <w:rFonts w:eastAsia="Calibri" w:cs="" w:ascii="arial;helvetica;sans-serif" w:hAnsi="arial;helvetica;sans-serif" w:cstheme="minorBidi" w:eastAsiaTheme="minorHAnsi"/>
          <w:b/>
          <w:sz w:val="24"/>
          <w:szCs w:val="22"/>
          <w:lang w:val="hr-HR" w:eastAsia="en-US"/>
        </w:rPr>
        <w:t>ODLUKE O NAKNADI ZA RAZVOJ NA PODRUČJU PRUŽANJA VODNIH USLUGA JAVNE VODOOPSKRBE, JAVNE ODVODNJE I PROČIŠĆAVANJA OTPADNIH VODA, TEKIJA   d.o.o., POŽEGA</w:t>
      </w:r>
      <w:r>
        <w:rPr>
          <w:rFonts w:eastAsia="Calibri" w:cs="" w:ascii="Calibri" w:hAnsi="Calibri" w:asciiTheme="minorHAnsi" w:cstheme="minorBidi" w:eastAsiaTheme="minorHAnsi" w:hAnsiTheme="minorHAnsi"/>
          <w:b/>
          <w:sz w:val="22"/>
          <w:szCs w:val="22"/>
          <w:lang w:val="hr-HR" w:eastAsia="en-US"/>
        </w:rPr>
        <w:t xml:space="preserve"> </w:t>
      </w:r>
    </w:p>
    <w:p>
      <w:pPr>
        <w:pStyle w:val="Normal"/>
        <w:spacing w:before="0" w:after="120"/>
        <w:jc w:val="both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hr-HR" w:eastAsia="en-US"/>
        </w:rPr>
      </w:pPr>
      <w:r>
        <w:rPr>
          <w:rFonts w:eastAsia="Calibri" w:cs="" w:cstheme="minorBidi" w:eastAsiaTheme="minorHAnsi" w:ascii="Calibri" w:hAnsi="Calibri"/>
          <w:sz w:val="22"/>
          <w:szCs w:val="22"/>
          <w:lang w:val="hr-HR" w:eastAsia="en-US"/>
        </w:rPr>
      </w:r>
    </w:p>
    <w:p>
      <w:pPr>
        <w:pStyle w:val="Normal"/>
        <w:spacing w:before="0" w:after="120"/>
        <w:ind w:firstLine="708"/>
        <w:jc w:val="both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hr-HR"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hr-HR" w:eastAsia="en-US"/>
        </w:rPr>
        <w:t>Stupanjem na snagu Zakona o izmjenama i dopunama Zakona o financiranju vodnog gospodarstvu od 18. srpnja 2019. godine (NN. br.66/19), donošenje odluke o naknadi za razvoj vodnih usluga (u daljnjem tekstu: Odluka) dana je u nadležnost javnih isporučitelja vodnih usluga. Skupština javnog isporučitelja vodnih usluga dužna je  donijeti Odluke kojima bi se zamijenile postojeće Odluke predstavničkih tijela JLS (jedinice lokalne samouprave).</w:t>
      </w:r>
    </w:p>
    <w:p>
      <w:pPr>
        <w:pStyle w:val="Normal"/>
        <w:spacing w:before="0" w:after="120"/>
        <w:ind w:firstLine="708"/>
        <w:jc w:val="both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hr-HR"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hr-HR" w:eastAsia="en-US"/>
        </w:rPr>
        <w:t>Važeće odluke o naknadi za razvoj vodnih usluga datiraju iz 2010. i 2011. godine, a iznosi naknada različiti su u pojedinim JLS na istom uslužnom području.</w:t>
      </w:r>
    </w:p>
    <w:p>
      <w:pPr>
        <w:pStyle w:val="Normal"/>
        <w:spacing w:before="0" w:after="120"/>
        <w:ind w:firstLine="708"/>
        <w:jc w:val="both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hr-HR"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hr-HR" w:eastAsia="en-US"/>
        </w:rPr>
        <w:t>Prihodi od naknade za razvoj koriste se za financiranje gradnje komunalnih građevina u skladu sa financijskim planom javnog isporučitelja vodnih usluga a koji se donose u skladu sa propisima kojim se uređuju djelatnost vodnih usluga.</w:t>
      </w:r>
    </w:p>
    <w:p>
      <w:pPr>
        <w:pStyle w:val="Normal"/>
        <w:spacing w:before="0" w:after="120"/>
        <w:ind w:firstLine="708"/>
        <w:jc w:val="both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hr-HR"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hr-HR" w:eastAsia="en-US"/>
        </w:rPr>
        <w:t>Sukladno navedenim Zakonima, izrađen je nacrt Odluke o naknadi za razvoj vodnih usluga na uslužnom području Tekija, d.o.o. koji se daje na javno savjetovanje sukladno članku 11. Zakona o pravu na pristup informacijama.</w:t>
      </w:r>
    </w:p>
    <w:p>
      <w:pPr>
        <w:pStyle w:val="Normal"/>
        <w:spacing w:before="0" w:after="120"/>
        <w:ind w:firstLine="708"/>
        <w:jc w:val="both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hr-HR"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hr-HR" w:eastAsia="en-US"/>
        </w:rPr>
        <w:t>Donošenje Odluke o naknadi za razvoj predstavlja usklađenje sa odredbama novih Zakona. Naknada za razvoj je i u prethodnim razdobljima bila sastavni dio uz cijenu vodne usluge i to u različitim iznosima u svakoj JLS i to kako slijedi: Naknada za razvoj vodoopskrbe za stambene prostore iznosila je 1,29 kn/m3 i 1,55 kn/m3 za poslovne prostore, a naknada za razvoj odvodnje za stambene prostore iznosila je 1,27 kn/m3 i 1,68 kn/m3 za poslovne prostore na području Grada Pleternice.</w:t>
      </w:r>
    </w:p>
    <w:p>
      <w:pPr>
        <w:pStyle w:val="Normal"/>
        <w:spacing w:before="0" w:after="120"/>
        <w:ind w:firstLine="708"/>
        <w:jc w:val="both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hr-HR"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hr-HR" w:eastAsia="en-US"/>
        </w:rPr>
        <w:t>Naknada za razvoj vodoopskrbe za stambene prostore iznosila je 1,00 kn/m3 i 1,25 kn/m3 za poslovne prostore, a naknada za razvoj odvodnje za stambene prostore iznosila je 1,00 kn/m3 i 1,30 kn/m3 za poslovne prostore na području Grada Kutjeva.</w:t>
      </w:r>
    </w:p>
    <w:p>
      <w:pPr>
        <w:pStyle w:val="Normal"/>
        <w:spacing w:before="0" w:after="120"/>
        <w:ind w:firstLine="708"/>
        <w:jc w:val="both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hr-HR"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hr-HR" w:eastAsia="en-US"/>
        </w:rPr>
        <w:t>Naknada za razvoj vodoopskrbe za stambene prostore iznosila je 0,29 kn/m3 i 0,55 kn/m3 za poslovne prostore, a naknada za razvoj odvodnje za stambene prostore iznosila je 0,81 kn/m3 i 1,22 kn/m3 za poslovne prostore na području  Grada Požege i Općina Velika, Brestovac, Čaglin, i Kaptol.</w:t>
      </w:r>
    </w:p>
    <w:p>
      <w:pPr>
        <w:pStyle w:val="Normal"/>
        <w:spacing w:before="0" w:after="120"/>
        <w:ind w:firstLine="708"/>
        <w:jc w:val="both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hr-HR"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hr-HR" w:eastAsia="en-US"/>
        </w:rPr>
        <w:t>Naknada za razvoj vodoopskrbe za stambene prostore iznosila je 0,29 kn/m3 i 0,55 kn/m3 za poslovne prostore, a naknada za razvoj odvodnje za stambene prostore iznosila je 0,23 kn/m3 i 0,67 kn/m3 za poslovne prostore na području  Općine Jakšić.</w:t>
      </w:r>
    </w:p>
    <w:p>
      <w:pPr>
        <w:pStyle w:val="Normal"/>
        <w:spacing w:before="0" w:after="120"/>
        <w:jc w:val="both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hr-HR"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hr-HR" w:eastAsia="en-US"/>
        </w:rPr>
        <w:t xml:space="preserve"> </w:t>
      </w: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hr-HR" w:eastAsia="en-US"/>
        </w:rPr>
        <w:t>Ovom Odlukom predlaže se izjednačavanje iznosa naknade za razvoj u svim JLS na području požeštine i to naknada za razvoj vodoopskrbe 1,29 kn/m3 za stambene prostore i 1,55 kn/m3 za poslovne prostore, a naknada za razvoj odvodnje 1,27 kn/m3 za stambene prostore i 1,68 kn/m3 za poslovne prostore</w:t>
      </w:r>
    </w:p>
    <w:p>
      <w:pPr>
        <w:pStyle w:val="Normal"/>
        <w:spacing w:before="0" w:after="120"/>
        <w:ind w:firstLine="708"/>
        <w:jc w:val="both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hr-HR"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hr-HR" w:eastAsia="en-US"/>
        </w:rPr>
        <w:t xml:space="preserve">Zakonske osnove prijedloga:  Zakon o vodnim uslugama (N.N. 66/19), Zakon o financiranju vodnog gospodarstva (N.N. 153/09, 90/11, 56/13, 120/16, 127/17 i 66/19), </w:t>
      </w:r>
    </w:p>
    <w:p>
      <w:pPr>
        <w:pStyle w:val="Normal"/>
        <w:spacing w:before="0" w:after="120"/>
        <w:jc w:val="both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hr-HR" w:eastAsia="en-US"/>
        </w:rPr>
      </w:pPr>
      <w:r>
        <w:rPr>
          <w:rFonts w:eastAsia="Calibri" w:cs="" w:cstheme="minorBidi" w:eastAsiaTheme="minorHAnsi" w:ascii="Calibri" w:hAnsi="Calibri"/>
          <w:sz w:val="22"/>
          <w:szCs w:val="22"/>
          <w:lang w:val="hr-HR" w:eastAsia="en-US"/>
        </w:rPr>
      </w:r>
    </w:p>
    <w:p>
      <w:pPr>
        <w:pStyle w:val="Normal"/>
        <w:spacing w:before="0" w:after="120"/>
        <w:jc w:val="both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hr-HR" w:eastAsia="en-US"/>
        </w:rPr>
      </w:pPr>
      <w:r>
        <w:rPr>
          <w:rFonts w:eastAsia="Calibri" w:cs="" w:cstheme="minorBidi" w:eastAsiaTheme="minorHAnsi" w:ascii="Calibri" w:hAnsi="Calibri"/>
          <w:sz w:val="22"/>
          <w:szCs w:val="22"/>
          <w:lang w:val="hr-HR" w:eastAsia="en-US"/>
        </w:rPr>
      </w:r>
    </w:p>
    <w:p>
      <w:pPr>
        <w:pStyle w:val="Normal"/>
        <w:spacing w:before="0" w:after="120"/>
        <w:jc w:val="both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hr-HR" w:eastAsia="en-US"/>
        </w:rPr>
      </w:pPr>
      <w:r>
        <w:rPr>
          <w:rFonts w:eastAsia="Calibri" w:cs="" w:cstheme="minorBidi" w:eastAsiaTheme="minorHAnsi" w:ascii="Calibri" w:hAnsi="Calibri"/>
          <w:sz w:val="22"/>
          <w:szCs w:val="22"/>
          <w:lang w:val="hr-HR" w:eastAsia="en-US"/>
        </w:rPr>
      </w:r>
    </w:p>
    <w:p>
      <w:pPr>
        <w:pStyle w:val="Normal"/>
        <w:spacing w:before="0" w:after="120"/>
        <w:jc w:val="both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hr-HR" w:eastAsia="en-US"/>
        </w:rPr>
      </w:pPr>
      <w:r>
        <w:rPr>
          <w:rFonts w:eastAsia="Calibri" w:cs="" w:cstheme="minorBidi" w:eastAsiaTheme="minorHAnsi" w:ascii="Calibri" w:hAnsi="Calibri"/>
          <w:sz w:val="22"/>
          <w:szCs w:val="22"/>
          <w:lang w:val="hr-HR" w:eastAsia="en-US"/>
        </w:rPr>
      </w:r>
    </w:p>
    <w:p>
      <w:pPr>
        <w:pStyle w:val="Normal"/>
        <w:spacing w:before="0" w:after="120"/>
        <w:ind w:firstLine="708"/>
        <w:jc w:val="both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hr-HR"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hr-HR" w:eastAsia="en-US"/>
        </w:rPr>
        <w:t>Cilj donošenja Odluke je izvršenje zakonskih obveza, osiguranje sredstava za financiranje projekata u vodnom gospodarstvu, a sve u svrhu obavljanja djelatnosti javne vodoopskrbe i javne odvodnje i pročišćavanja, proširenja obuhvata dostupnosti javne vodoopskrbe i javne odvodnje, tako da se osigura njihov održivi razvitak</w:t>
      </w:r>
      <w:r>
        <w:rPr/>
        <w:t xml:space="preserve"> </w:t>
      </w: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hr-HR" w:eastAsia="en-US"/>
        </w:rPr>
        <w:t>i stalno povećanje kakvoće vodnih usluga.</w:t>
      </w:r>
    </w:p>
    <w:p>
      <w:pPr>
        <w:pStyle w:val="Normal"/>
        <w:spacing w:before="0" w:after="120"/>
        <w:jc w:val="both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hr-HR" w:eastAsia="en-US"/>
        </w:rPr>
      </w:pPr>
      <w:r>
        <w:rPr>
          <w:rFonts w:eastAsia="Calibri" w:cs="" w:cstheme="minorBidi" w:eastAsiaTheme="minorHAnsi" w:ascii="Calibri" w:hAnsi="Calibri"/>
          <w:sz w:val="22"/>
          <w:szCs w:val="22"/>
          <w:lang w:val="hr-HR" w:eastAsia="en-US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 w:before="0" w:after="200"/>
        <w:ind w:firstLine="708"/>
        <w:jc w:val="both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hr-HR"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hr-HR" w:eastAsia="en-US"/>
        </w:rPr>
        <w:t>S poštovanjem,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hr-HR"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hr-HR" w:eastAsia="en-US"/>
        </w:rPr>
        <w:tab/>
        <w:tab/>
        <w:tab/>
        <w:tab/>
        <w:tab/>
        <w:tab/>
        <w:tab/>
        <w:tab/>
        <w:tab/>
        <w:tab/>
        <w:tab/>
        <w:t>Direktor: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hr-HR"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hr-HR" w:eastAsia="en-US"/>
        </w:rPr>
        <w:tab/>
        <w:tab/>
        <w:tab/>
        <w:tab/>
        <w:tab/>
        <w:tab/>
        <w:tab/>
        <w:tab/>
        <w:tab/>
        <w:tab/>
        <w:t>Anto Bekić, dipl. ing.</w:t>
      </w:r>
    </w:p>
    <w:p>
      <w:pPr>
        <w:pStyle w:val="Normal"/>
        <w:rPr>
          <w:rFonts w:ascii="Calibri" w:hAnsi="Calibri"/>
          <w:sz w:val="20"/>
          <w:szCs w:val="20"/>
          <w:lang w:val="hr-HR"/>
        </w:rPr>
      </w:pPr>
      <w:r>
        <w:rPr>
          <w:rFonts w:ascii="Calibri" w:hAnsi="Calibri"/>
          <w:sz w:val="20"/>
          <w:szCs w:val="20"/>
          <w:lang w:val="hr-HR"/>
        </w:rPr>
      </w:r>
    </w:p>
    <w:p>
      <w:pPr>
        <w:pStyle w:val="Normal"/>
        <w:rPr>
          <w:rFonts w:ascii="Calibri" w:hAnsi="Calibri"/>
          <w:sz w:val="20"/>
          <w:szCs w:val="20"/>
          <w:lang w:val="hr-HR"/>
        </w:rPr>
      </w:pPr>
      <w:r>
        <w:rPr>
          <w:rFonts w:ascii="Calibri" w:hAnsi="Calibri"/>
          <w:sz w:val="20"/>
          <w:szCs w:val="20"/>
          <w:lang w:val="hr-HR"/>
        </w:rPr>
      </w:r>
    </w:p>
    <w:p>
      <w:pPr>
        <w:pStyle w:val="Normal"/>
        <w:rPr>
          <w:rFonts w:ascii="Calibri" w:hAnsi="Calibri"/>
          <w:sz w:val="20"/>
          <w:szCs w:val="20"/>
          <w:lang w:val="hr-HR"/>
        </w:rPr>
      </w:pPr>
      <w:r>
        <w:rPr>
          <w:rFonts w:ascii="Calibri" w:hAnsi="Calibri"/>
          <w:sz w:val="20"/>
          <w:szCs w:val="20"/>
          <w:lang w:val="hr-HR"/>
        </w:rPr>
      </w:r>
    </w:p>
    <w:p>
      <w:pPr>
        <w:pStyle w:val="Normal"/>
        <w:rPr>
          <w:rFonts w:ascii="Calibri" w:hAnsi="Calibri"/>
          <w:sz w:val="20"/>
          <w:szCs w:val="20"/>
          <w:lang w:val="hr-HR"/>
        </w:rPr>
      </w:pPr>
      <w:r>
        <w:rPr>
          <w:rFonts w:ascii="Calibri" w:hAnsi="Calibri"/>
          <w:sz w:val="20"/>
          <w:szCs w:val="20"/>
          <w:lang w:val="hr-HR"/>
        </w:rPr>
      </w:r>
    </w:p>
    <w:p>
      <w:pPr>
        <w:pStyle w:val="Normal"/>
        <w:rPr>
          <w:rFonts w:ascii="Calibri" w:hAnsi="Calibri"/>
          <w:sz w:val="20"/>
          <w:szCs w:val="20"/>
          <w:lang w:val="hr-HR"/>
        </w:rPr>
      </w:pPr>
      <w:r>
        <w:rPr>
          <w:rFonts w:ascii="Calibri" w:hAnsi="Calibri"/>
          <w:sz w:val="20"/>
          <w:szCs w:val="20"/>
          <w:lang w:val="hr-HR"/>
        </w:rPr>
      </w:r>
    </w:p>
    <w:tbl>
      <w:tblPr>
        <w:tblpPr w:bottomFromText="0" w:horzAnchor="margin" w:leftFromText="181" w:rightFromText="181" w:tblpX="0" w:tblpY="15276" w:topFromText="0" w:vertAnchor="page"/>
        <w:tblW w:w="10432" w:type="dxa"/>
        <w:jc w:val="left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0" w:lastRow="1" w:firstColumn="1" w:lastColumn="1" w:noHBand="0" w:val="01e0"/>
      </w:tblPr>
      <w:tblGrid>
        <w:gridCol w:w="10432"/>
      </w:tblGrid>
      <w:tr>
        <w:trPr>
          <w:trHeight w:val="227" w:hRule="atLeast"/>
        </w:trPr>
        <w:tc>
          <w:tcPr>
            <w:tcW w:w="10432" w:type="dxa"/>
            <w:tcBorders>
              <w:bottom w:val="single" w:sz="24" w:space="0" w:color="00CC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00"/>
              <w:jc w:val="center"/>
              <w:rPr>
                <w:rFonts w:ascii="Calibri" w:hAnsi="Calibri"/>
                <w:color w:val="0000FF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t xml:space="preserve">22. ožujka – Dan voda </w:t>
            </w:r>
            <w:r>
              <w:rPr>
                <w:rFonts w:eastAsia="Symbol" w:cs="Symbol" w:ascii="Symbol" w:hAnsi="Symbol"/>
                <w:color w:val="0000FF"/>
                <w:sz w:val="20"/>
                <w:szCs w:val="20"/>
                <w:lang w:val="hr-HR"/>
              </w:rPr>
              <w:t></w:t>
            </w:r>
            <w:r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t xml:space="preserve"> 22 travnja – Dan planete Zemlje </w:t>
            </w:r>
            <w:r>
              <w:rPr>
                <w:rFonts w:eastAsia="Symbol" w:cs="Symbol" w:ascii="Symbol" w:hAnsi="Symbol"/>
                <w:color w:val="0000FF"/>
                <w:sz w:val="20"/>
                <w:szCs w:val="20"/>
                <w:lang w:val="hr-HR"/>
              </w:rPr>
              <w:t></w:t>
            </w:r>
            <w:r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t xml:space="preserve"> 5. lipnja – Dan zaštite čovjekove okoline</w:t>
            </w:r>
          </w:p>
        </w:tc>
      </w:tr>
      <w:tr>
        <w:trPr>
          <w:trHeight w:val="227" w:hRule="atLeast"/>
        </w:trPr>
        <w:tc>
          <w:tcPr>
            <w:tcW w:w="10432" w:type="dxa"/>
            <w:tcBorders>
              <w:top w:val="single" w:sz="24" w:space="0" w:color="00CC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00"/>
              <w:jc w:val="center"/>
              <w:rPr>
                <w:rFonts w:ascii="Calibri" w:hAnsi="Calibri"/>
                <w:color w:val="0000FF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t xml:space="preserve">Voda je izvor života </w:t>
            </w:r>
            <w:r>
              <w:rPr>
                <w:rFonts w:eastAsia="Symbol" w:cs="Symbol" w:ascii="Symbol" w:hAnsi="Symbol"/>
                <w:color w:val="0000FF"/>
                <w:sz w:val="20"/>
                <w:szCs w:val="20"/>
                <w:lang w:val="hr-HR"/>
              </w:rPr>
              <w:t></w:t>
            </w:r>
            <w:r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t xml:space="preserve"> Čuvajmo okoliš </w:t>
            </w:r>
            <w:r>
              <w:rPr>
                <w:rFonts w:eastAsia="Symbol" w:cs="Symbol" w:ascii="Symbol" w:hAnsi="Symbol"/>
                <w:color w:val="0000FF"/>
                <w:sz w:val="20"/>
                <w:szCs w:val="20"/>
                <w:lang w:val="hr-HR"/>
              </w:rPr>
              <w:t></w:t>
            </w:r>
            <w:r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t xml:space="preserve"> Vrijeme ne radi za nas</w:t>
            </w:r>
          </w:p>
        </w:tc>
      </w:tr>
    </w:tbl>
    <w:p>
      <w:pPr>
        <w:pStyle w:val="Normal"/>
        <w:rPr>
          <w:rFonts w:ascii="Calibri" w:hAnsi="Calibri"/>
          <w:sz w:val="20"/>
          <w:szCs w:val="20"/>
          <w:lang w:val="hr-HR"/>
        </w:rPr>
      </w:pPr>
      <w:r>
        <w:rPr>
          <w:rFonts w:ascii="Calibri" w:hAnsi="Calibri"/>
          <w:sz w:val="20"/>
          <w:szCs w:val="20"/>
          <w:lang w:val="hr-HR"/>
        </w:rPr>
      </w:r>
    </w:p>
    <w:p>
      <w:pPr>
        <w:pStyle w:val="Normal"/>
        <w:rPr>
          <w:rFonts w:ascii="Calibri" w:hAnsi="Calibri"/>
          <w:sz w:val="20"/>
          <w:szCs w:val="20"/>
          <w:lang w:val="hr-HR"/>
        </w:rPr>
      </w:pPr>
      <w:r>
        <w:rPr/>
      </w:r>
    </w:p>
    <w:sectPr>
      <w:footerReference w:type="default" r:id="rId3"/>
      <w:type w:val="nextPage"/>
      <w:pgSz w:w="11906" w:h="16838"/>
      <w:pgMar w:left="1021" w:right="567" w:gutter="0" w:header="0" w:top="454" w:footer="567" w:bottom="62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altName w:val="helvetica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Calibri" w:hAnsi="Calibri"/>
        <w:color w:val="0000FF"/>
        <w:sz w:val="18"/>
        <w:szCs w:val="18"/>
        <w:lang w:val="hr-HR"/>
      </w:rPr>
    </w:pPr>
    <w:r>
      <w:rPr>
        <w:rFonts w:ascii="Calibri" w:hAnsi="Calibri"/>
        <w:color w:val="0000FF"/>
        <w:sz w:val="18"/>
        <w:szCs w:val="18"/>
        <w:lang w:val="hr-HR"/>
      </w:rPr>
      <w:t>Društvo je upisano u sudski registar kod trgovačkog suda u Osijeku – stalna služba u Slavonskom Brodu pod MBS 050029429</w:t>
    </w:r>
  </w:p>
  <w:p>
    <w:pPr>
      <w:pStyle w:val="Footer"/>
      <w:jc w:val="center"/>
      <w:rPr>
        <w:rFonts w:ascii="Calibri" w:hAnsi="Calibri"/>
        <w:color w:val="0000FF"/>
        <w:sz w:val="18"/>
        <w:szCs w:val="18"/>
        <w:lang w:val="hr-HR"/>
      </w:rPr>
    </w:pPr>
    <w:r>
      <w:rPr>
        <w:rFonts w:ascii="Calibri" w:hAnsi="Calibri"/>
        <w:color w:val="0000FF"/>
        <w:sz w:val="18"/>
        <w:szCs w:val="18"/>
        <w:lang w:val="hr-HR"/>
      </w:rPr>
      <w:t>Temeljni kapital društva iznosi 86.669.800,00 kn. Uprava društva: Anto Bekić, dipl. ing.</w:t>
    </w:r>
  </w:p>
</w:ftr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 w:semiHidden="1" w:unhideWhenUsed="1"/>
    <w:lsdException w:name="Light List" w:uiPriority="61" w:semiHidden="1" w:unhideWhenUsed="1"/>
    <w:lsdException w:name="Light Grid" w:uiPriority="62" w:semiHidden="1" w:unhideWhenUsed="1"/>
    <w:lsdException w:name="Medium Shading 1" w:uiPriority="63" w:semiHidden="1" w:unhideWhenUsed="1"/>
    <w:lsdException w:name="Medium Shading 2" w:uiPriority="64" w:semiHidden="1" w:unhideWhenUsed="1"/>
    <w:lsdException w:name="Medium List 1" w:uiPriority="65" w:semiHidden="1" w:unhideWhenUsed="1"/>
    <w:lsdException w:name="Medium List 2" w:uiPriority="66" w:semiHidden="1" w:unhideWhenUsed="1"/>
    <w:lsdException w:name="Medium Grid 1" w:uiPriority="67" w:semiHidden="1" w:unhideWhenUsed="1"/>
    <w:lsdException w:name="Medium Grid 2" w:uiPriority="68" w:semiHidden="1" w:unhideWhenUsed="1"/>
    <w:lsdException w:name="Medium Grid 3" w:uiPriority="69" w:semiHidden="1" w:unhideWhenUsed="1"/>
    <w:lsdException w:name="Dark List" w:uiPriority="70" w:semiHidden="1" w:unhideWhenUsed="1"/>
    <w:lsdException w:name="Colorful Shading" w:uiPriority="71" w:semiHidden="1" w:unhideWhenUsed="1"/>
    <w:lsdException w:name="Colorful List" w:uiPriority="72" w:semiHidden="1" w:unhideWhenUsed="1"/>
    <w:lsdException w:name="Colorful Grid" w:uiPriority="73" w:semiHidden="1" w:unhideWhenUsed="1"/>
    <w:lsdException w:name="Light Shading Accent 1" w:uiPriority="60" w:semiHidden="1" w:unhideWhenUsed="1"/>
    <w:lsdException w:name="Light List Accent 1" w:uiPriority="61" w:semiHidden="1" w:unhideWhenUsed="1"/>
    <w:lsdException w:name="Light Grid Accent 1" w:uiPriority="62" w:semiHidden="1" w:unhideWhenUsed="1"/>
    <w:lsdException w:name="Medium Shading 1 Accent 1" w:uiPriority="63" w:semiHidden="1" w:unhideWhenUsed="1"/>
    <w:lsdException w:name="Medium Shading 2 Accent 1" w:uiPriority="64" w:semiHidden="1" w:unhideWhenUsed="1"/>
    <w:lsdException w:name="Medium List 1 Accent 1" w:uiPriority="65" w:semiHidden="1" w:unhideWhenUsed="1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semiHidden="1" w:unhideWhenUsed="1"/>
    <w:lsdException w:name="Medium Grid 1 Accent 1" w:uiPriority="67" w:semiHidden="1" w:unhideWhenUsed="1"/>
    <w:lsdException w:name="Medium Grid 2 Accent 1" w:uiPriority="68" w:semiHidden="1" w:unhideWhenUsed="1"/>
    <w:lsdException w:name="Medium Grid 3 Accent 1" w:uiPriority="69" w:semiHidden="1" w:unhideWhenUsed="1"/>
    <w:lsdException w:name="Dark List Accent 1" w:uiPriority="70" w:semiHidden="1" w:unhideWhenUsed="1"/>
    <w:lsdException w:name="Colorful Shading Accent 1" w:uiPriority="71" w:semiHidden="1" w:unhideWhenUsed="1"/>
    <w:lsdException w:name="Colorful List Accent 1" w:uiPriority="72" w:semiHidden="1" w:unhideWhenUsed="1"/>
    <w:lsdException w:name="Colorful Grid Accent 1" w:uiPriority="73" w:semiHidden="1" w:unhideWhenUsed="1"/>
    <w:lsdException w:name="Light Shading Accent 2" w:uiPriority="60" w:semiHidden="1" w:unhideWhenUsed="1"/>
    <w:lsdException w:name="Light List Accent 2" w:uiPriority="61" w:semiHidden="1" w:unhideWhenUsed="1"/>
    <w:lsdException w:name="Light Grid Accent 2" w:uiPriority="62" w:semiHidden="1" w:unhideWhenUsed="1"/>
    <w:lsdException w:name="Medium Shading 1 Accent 2" w:uiPriority="63" w:semiHidden="1" w:unhideWhenUsed="1"/>
    <w:lsdException w:name="Medium Shading 2 Accent 2" w:uiPriority="64" w:semiHidden="1" w:unhideWhenUsed="1"/>
    <w:lsdException w:name="Medium List 1 Accent 2" w:uiPriority="65" w:semiHidden="1" w:unhideWhenUsed="1"/>
    <w:lsdException w:name="Medium List 2 Accent 2" w:uiPriority="66" w:semiHidden="1" w:unhideWhenUsed="1"/>
    <w:lsdException w:name="Medium Grid 1 Accent 2" w:uiPriority="67" w:semiHidden="1" w:unhideWhenUsed="1"/>
    <w:lsdException w:name="Medium Grid 2 Accent 2" w:uiPriority="68" w:semiHidden="1" w:unhideWhenUsed="1"/>
    <w:lsdException w:name="Medium Grid 3 Accent 2" w:uiPriority="69" w:semiHidden="1" w:unhideWhenUsed="1"/>
    <w:lsdException w:name="Dark List Accent 2" w:uiPriority="70" w:semiHidden="1" w:unhideWhenUsed="1"/>
    <w:lsdException w:name="Colorful Shading Accent 2" w:uiPriority="71" w:semiHidden="1" w:unhideWhenUsed="1"/>
    <w:lsdException w:name="Colorful List Accent 2" w:uiPriority="72" w:semiHidden="1" w:unhideWhenUsed="1"/>
    <w:lsdException w:name="Colorful Grid Accent 2" w:uiPriority="73" w:semiHidden="1" w:unhideWhenUsed="1"/>
    <w:lsdException w:name="Light Shading Accent 3" w:uiPriority="60" w:semiHidden="1" w:unhideWhenUsed="1"/>
    <w:lsdException w:name="Light List Accent 3" w:uiPriority="61" w:semiHidden="1" w:unhideWhenUsed="1"/>
    <w:lsdException w:name="Light Grid Accent 3" w:uiPriority="62" w:semiHidden="1" w:unhideWhenUsed="1"/>
    <w:lsdException w:name="Medium Shading 1 Accent 3" w:uiPriority="63" w:semiHidden="1" w:unhideWhenUsed="1"/>
    <w:lsdException w:name="Medium Shading 2 Accent 3" w:uiPriority="64" w:semiHidden="1" w:unhideWhenUsed="1"/>
    <w:lsdException w:name="Medium List 1 Accent 3" w:uiPriority="65" w:semiHidden="1" w:unhideWhenUsed="1"/>
    <w:lsdException w:name="Medium List 2 Accent 3" w:uiPriority="66" w:semiHidden="1" w:unhideWhenUsed="1"/>
    <w:lsdException w:name="Medium Grid 1 Accent 3" w:uiPriority="67" w:semiHidden="1" w:unhideWhenUsed="1"/>
    <w:lsdException w:name="Medium Grid 2 Accent 3" w:uiPriority="68" w:semiHidden="1" w:unhideWhenUsed="1"/>
    <w:lsdException w:name="Medium Grid 3 Accent 3" w:uiPriority="69" w:semiHidden="1" w:unhideWhenUsed="1"/>
    <w:lsdException w:name="Dark List Accent 3" w:uiPriority="70" w:semiHidden="1" w:unhideWhenUsed="1"/>
    <w:lsdException w:name="Colorful Shading Accent 3" w:uiPriority="71" w:semiHidden="1" w:unhideWhenUsed="1"/>
    <w:lsdException w:name="Colorful List Accent 3" w:uiPriority="72" w:semiHidden="1" w:unhideWhenUsed="1"/>
    <w:lsdException w:name="Colorful Grid Accent 3" w:uiPriority="73" w:semiHidden="1" w:unhideWhenUsed="1"/>
    <w:lsdException w:name="Light Shading Accent 4" w:uiPriority="60" w:semiHidden="1" w:unhideWhenUsed="1"/>
    <w:lsdException w:name="Light List Accent 4" w:uiPriority="61" w:semiHidden="1" w:unhideWhenUsed="1"/>
    <w:lsdException w:name="Light Grid Accent 4" w:uiPriority="62" w:semiHidden="1" w:unhideWhenUsed="1"/>
    <w:lsdException w:name="Medium Shading 1 Accent 4" w:uiPriority="63" w:semiHidden="1" w:unhideWhenUsed="1"/>
    <w:lsdException w:name="Medium Shading 2 Accent 4" w:uiPriority="64" w:semiHidden="1" w:unhideWhenUsed="1"/>
    <w:lsdException w:name="Medium List 1 Accent 4" w:uiPriority="65" w:semiHidden="1" w:unhideWhenUsed="1"/>
    <w:lsdException w:name="Medium List 2 Accent 4" w:uiPriority="66" w:semiHidden="1" w:unhideWhenUsed="1"/>
    <w:lsdException w:name="Medium Grid 1 Accent 4" w:uiPriority="67" w:semiHidden="1" w:unhideWhenUsed="1"/>
    <w:lsdException w:name="Medium Grid 2 Accent 4" w:uiPriority="68" w:semiHidden="1" w:unhideWhenUsed="1"/>
    <w:lsdException w:name="Medium Grid 3 Accent 4" w:uiPriority="69" w:semiHidden="1" w:unhideWhenUsed="1"/>
    <w:lsdException w:name="Dark List Accent 4" w:uiPriority="70" w:semiHidden="1" w:unhideWhenUsed="1"/>
    <w:lsdException w:name="Colorful Shading Accent 4" w:uiPriority="71" w:semiHidden="1" w:unhideWhenUsed="1"/>
    <w:lsdException w:name="Colorful List Accent 4" w:uiPriority="72" w:semiHidden="1" w:unhideWhenUsed="1"/>
    <w:lsdException w:name="Colorful Grid Accent 4" w:uiPriority="73" w:semiHidden="1" w:unhideWhenUsed="1"/>
    <w:lsdException w:name="Light Shading Accent 5" w:uiPriority="60" w:semiHidden="1" w:unhideWhenUsed="1"/>
    <w:lsdException w:name="Light List Accent 5" w:uiPriority="61" w:semiHidden="1" w:unhideWhenUsed="1"/>
    <w:lsdException w:name="Light Grid Accent 5" w:uiPriority="62" w:semiHidden="1" w:unhideWhenUsed="1"/>
    <w:lsdException w:name="Medium Shading 1 Accent 5" w:uiPriority="63" w:semiHidden="1" w:unhideWhenUsed="1"/>
    <w:lsdException w:name="Medium Shading 2 Accent 5" w:uiPriority="64" w:semiHidden="1" w:unhideWhenUsed="1"/>
    <w:lsdException w:name="Medium List 1 Accent 5" w:uiPriority="65" w:semiHidden="1" w:unhideWhenUsed="1"/>
    <w:lsdException w:name="Medium List 2 Accent 5" w:uiPriority="66" w:semiHidden="1" w:unhideWhenUsed="1"/>
    <w:lsdException w:name="Medium Grid 1 Accent 5" w:uiPriority="67" w:semiHidden="1" w:unhideWhenUsed="1"/>
    <w:lsdException w:name="Medium Grid 2 Accent 5" w:uiPriority="68" w:semiHidden="1" w:unhideWhenUsed="1"/>
    <w:lsdException w:name="Medium Grid 3 Accent 5" w:uiPriority="69" w:semiHidden="1" w:unhideWhenUsed="1"/>
    <w:lsdException w:name="Dark List Accent 5" w:uiPriority="70" w:semiHidden="1" w:unhideWhenUsed="1"/>
    <w:lsdException w:name="Colorful Shading Accent 5" w:uiPriority="71" w:semiHidden="1" w:unhideWhenUsed="1"/>
    <w:lsdException w:name="Colorful List Accent 5" w:uiPriority="72" w:semiHidden="1" w:unhideWhenUsed="1"/>
    <w:lsdException w:name="Colorful Grid Accent 5" w:uiPriority="73" w:semiHidden="1" w:unhideWhenUsed="1"/>
    <w:lsdException w:name="Light Shading Accent 6" w:uiPriority="60" w:semiHidden="1" w:unhideWhenUsed="1"/>
    <w:lsdException w:name="Light List Accent 6" w:uiPriority="61" w:semiHidden="1" w:unhideWhenUsed="1"/>
    <w:lsdException w:name="Light Grid Accent 6" w:uiPriority="62" w:semiHidden="1" w:unhideWhenUsed="1"/>
    <w:lsdException w:name="Medium Shading 1 Accent 6" w:uiPriority="63" w:semiHidden="1" w:unhideWhenUsed="1"/>
    <w:lsdException w:name="Medium Shading 2 Accent 6" w:uiPriority="64" w:semiHidden="1" w:unhideWhenUsed="1"/>
    <w:lsdException w:name="Medium List 1 Accent 6" w:uiPriority="65" w:semiHidden="1" w:unhideWhenUsed="1"/>
    <w:lsdException w:name="Medium List 2 Accent 6" w:uiPriority="66" w:semiHidden="1" w:unhideWhenUsed="1"/>
    <w:lsdException w:name="Medium Grid 1 Accent 6" w:uiPriority="67" w:semiHidden="1" w:unhideWhenUsed="1"/>
    <w:lsdException w:name="Medium Grid 2 Accent 6" w:uiPriority="68" w:semiHidden="1" w:unhideWhenUsed="1"/>
    <w:lsdException w:name="Medium Grid 3 Accent 6" w:uiPriority="69" w:semiHidden="1" w:unhideWhenUsed="1"/>
    <w:lsdException w:name="Dark List Accent 6" w:uiPriority="70" w:semiHidden="1" w:unhideWhenUsed="1"/>
    <w:lsdException w:name="Colorful Shading Accent 6" w:uiPriority="71" w:semiHidden="1" w:unhideWhenUsed="1"/>
    <w:lsdException w:name="Colorful List Accent 6" w:uiPriority="72" w:semiHidden="1" w:unhideWhenUsed="1"/>
    <w:lsdException w:name="Colorful Grid Accent 6" w:uiPriority="73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sid w:val="001f4f6e"/>
    <w:rPr>
      <w:color w:val="0000FF"/>
      <w:u w:val="single"/>
    </w:rPr>
  </w:style>
  <w:style w:type="character" w:styleId="TekstbaloniaChar" w:customStyle="1">
    <w:name w:val="Tekst balončića Char"/>
    <w:basedOn w:val="DefaultParagraphFont"/>
    <w:link w:val="Tekstbalonia"/>
    <w:qFormat/>
    <w:rsid w:val="00ae381e"/>
    <w:rPr>
      <w:rFonts w:ascii="Tahoma" w:hAnsi="Tahoma" w:cs="Tahoma"/>
      <w:sz w:val="16"/>
      <w:szCs w:val="16"/>
      <w:lang w:val="en-GB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54064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rsid w:val="0054064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baloniaChar"/>
    <w:qFormat/>
    <w:rsid w:val="00ae381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rsid w:val="001f4f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tekija</Template>
  <TotalTime>0</TotalTime>
  <Application>LibreOffice/7.2.2.2$Windows_X86_64 LibreOffice_project/02b2acce88a210515b4a5bb2e46cbfb63fe97d56</Application>
  <AppVersion>15.0000</AppVersion>
  <Pages>2</Pages>
  <Words>615</Words>
  <Characters>3420</Characters>
  <CharactersWithSpaces>4046</CharactersWithSpaces>
  <Paragraphs>28</Paragraphs>
  <Company>TEKIJA d.o.o.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2022-02-01T07:17:00Z</dcterms:created>
  <dc:creator>Krunoslav Prpić</dc:creator>
  <dc:description/>
  <dc:language>en-GB</dc:language>
  <cp:lastModifiedBy/>
  <cp:lastPrinted>2014-04-30T09:41:00Z</cp:lastPrinted>
  <dcterms:modified xsi:type="dcterms:W3CDTF">2022-02-01T12:56:02Z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